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EF7" w:rsidRPr="00FB2190" w:rsidRDefault="00026EF7" w:rsidP="00026EF7">
      <w:pPr>
        <w:spacing w:line="288" w:lineRule="auto"/>
        <w:rPr>
          <w:i/>
          <w:szCs w:val="22"/>
        </w:rPr>
      </w:pPr>
      <w:r w:rsidRPr="00FB2190">
        <w:rPr>
          <w:i/>
          <w:szCs w:val="22"/>
        </w:rPr>
        <w:t xml:space="preserve">The Royal Court is the writers’ theatre. It is the leading force in World theatre for vigorously cultivating writers – undiscovered, new and established. Through the writers we are at the forefront of creating restless, alert, provocative theatre about now.  We seek stories from everywhere and create theatre for everyone and we see our audience as one of our chief collaborators. </w:t>
      </w:r>
    </w:p>
    <w:p w:rsidR="00026EF7" w:rsidRPr="00FB2190" w:rsidRDefault="00026EF7" w:rsidP="00026EF7">
      <w:pPr>
        <w:spacing w:line="288" w:lineRule="auto"/>
        <w:rPr>
          <w:i/>
          <w:szCs w:val="22"/>
        </w:rPr>
      </w:pPr>
    </w:p>
    <w:p w:rsidR="00026EF7" w:rsidRPr="00FB2190" w:rsidRDefault="00026EF7" w:rsidP="00026EF7">
      <w:pPr>
        <w:spacing w:line="288" w:lineRule="auto"/>
        <w:rPr>
          <w:szCs w:val="22"/>
        </w:rPr>
      </w:pPr>
      <w:r w:rsidRPr="00FB2190">
        <w:rPr>
          <w:szCs w:val="22"/>
        </w:rPr>
        <w:t>Applications are invited for the post of:</w:t>
      </w:r>
      <w:r w:rsidR="00822D42" w:rsidRPr="00FB2190">
        <w:rPr>
          <w:szCs w:val="22"/>
        </w:rPr>
        <w:tab/>
        <w:t xml:space="preserve"> </w:t>
      </w:r>
      <w:r w:rsidR="00FB2190" w:rsidRPr="00FB2190">
        <w:rPr>
          <w:b/>
          <w:szCs w:val="22"/>
        </w:rPr>
        <w:t>DEVELOPMENT DIRECTOR</w:t>
      </w:r>
    </w:p>
    <w:p w:rsidR="00026EF7" w:rsidRPr="00FB2190" w:rsidRDefault="00026EF7" w:rsidP="00026EF7">
      <w:pPr>
        <w:pStyle w:val="Heading2"/>
        <w:rPr>
          <w:rFonts w:ascii="Gill Sans MT" w:hAnsi="Gill Sans MT"/>
          <w:sz w:val="22"/>
          <w:szCs w:val="22"/>
        </w:rPr>
      </w:pPr>
      <w:r w:rsidRPr="00FB2190">
        <w:rPr>
          <w:rFonts w:ascii="Gill Sans MT" w:hAnsi="Gill Sans MT"/>
          <w:sz w:val="22"/>
          <w:szCs w:val="22"/>
        </w:rPr>
        <w:t xml:space="preserve">Responsible to: </w:t>
      </w:r>
      <w:r w:rsidR="00822D42" w:rsidRPr="00FB2190">
        <w:rPr>
          <w:rFonts w:ascii="Gill Sans MT" w:hAnsi="Gill Sans MT"/>
          <w:sz w:val="22"/>
          <w:szCs w:val="22"/>
        </w:rPr>
        <w:tab/>
      </w:r>
      <w:r w:rsidR="00822D42" w:rsidRPr="00FB2190">
        <w:rPr>
          <w:rFonts w:ascii="Gill Sans MT" w:hAnsi="Gill Sans MT"/>
          <w:sz w:val="22"/>
          <w:szCs w:val="22"/>
        </w:rPr>
        <w:tab/>
      </w:r>
      <w:r w:rsidR="00822D42" w:rsidRPr="00FB2190">
        <w:rPr>
          <w:rFonts w:ascii="Gill Sans MT" w:hAnsi="Gill Sans MT"/>
          <w:sz w:val="22"/>
          <w:szCs w:val="22"/>
        </w:rPr>
        <w:tab/>
      </w:r>
      <w:r w:rsidR="00FB2190">
        <w:rPr>
          <w:rFonts w:ascii="Gill Sans MT" w:hAnsi="Gill Sans MT"/>
          <w:sz w:val="22"/>
          <w:szCs w:val="22"/>
        </w:rPr>
        <w:t xml:space="preserve"> EXECUTIVE PRODUCER</w:t>
      </w:r>
    </w:p>
    <w:p w:rsidR="00814021" w:rsidRPr="00FB2190" w:rsidRDefault="00814021" w:rsidP="00026EF7">
      <w:pPr>
        <w:rPr>
          <w:rFonts w:eastAsia="Times New Roman"/>
          <w:iCs/>
          <w:szCs w:val="22"/>
        </w:rPr>
      </w:pPr>
    </w:p>
    <w:p w:rsidR="00026EF7" w:rsidRPr="00FB2190" w:rsidRDefault="00026EF7" w:rsidP="00026EF7">
      <w:pPr>
        <w:rPr>
          <w:rFonts w:eastAsia="Times New Roman"/>
          <w:iCs/>
          <w:szCs w:val="22"/>
        </w:rPr>
      </w:pPr>
      <w:r w:rsidRPr="00FB2190">
        <w:rPr>
          <w:rFonts w:eastAsia="Times New Roman"/>
          <w:iCs/>
          <w:szCs w:val="22"/>
        </w:rPr>
        <w:t>The Royal Court is the home of the English Stage Company Limited (ESC) and is the UK’s leading theatre dedicated to new writing.</w:t>
      </w:r>
    </w:p>
    <w:p w:rsidR="00026EF7" w:rsidRPr="00FB2190" w:rsidRDefault="00026EF7" w:rsidP="00026EF7">
      <w:pPr>
        <w:rPr>
          <w:rFonts w:eastAsia="Times New Roman"/>
          <w:iCs/>
          <w:szCs w:val="22"/>
        </w:rPr>
      </w:pPr>
    </w:p>
    <w:p w:rsidR="00026EF7" w:rsidRPr="00FB2190" w:rsidRDefault="00026EF7" w:rsidP="00026EF7">
      <w:pPr>
        <w:rPr>
          <w:rFonts w:eastAsia="Times New Roman"/>
          <w:iCs/>
          <w:szCs w:val="22"/>
        </w:rPr>
      </w:pPr>
      <w:r w:rsidRPr="00FB2190">
        <w:rPr>
          <w:rFonts w:eastAsia="Times New Roman"/>
          <w:iCs/>
          <w:szCs w:val="22"/>
        </w:rPr>
        <w:t xml:space="preserve">Up to 16 plays a year are staged between two theatre spaces (the Jerwood Theatre Downstairs and the Jerwood Theatre Upstairs) at the Royal Court’s home on Sloane Square. Over 100,000 people visit the Royal Court every year and over 100,000 more see our work elsewhere, including transfers to the West End and New York, National and International touring, </w:t>
      </w:r>
      <w:r w:rsidR="00AA1A68" w:rsidRPr="00FB2190">
        <w:rPr>
          <w:rFonts w:eastAsia="Times New Roman"/>
          <w:iCs/>
          <w:szCs w:val="22"/>
        </w:rPr>
        <w:t xml:space="preserve">online projects and </w:t>
      </w:r>
      <w:r w:rsidRPr="00FB2190">
        <w:rPr>
          <w:rFonts w:eastAsia="Times New Roman"/>
          <w:iCs/>
          <w:szCs w:val="22"/>
        </w:rPr>
        <w:t>London residencies in Tottenham and Pimlico</w:t>
      </w:r>
      <w:r w:rsidR="00AA1A68" w:rsidRPr="00FB2190">
        <w:rPr>
          <w:rFonts w:eastAsia="Times New Roman"/>
          <w:iCs/>
          <w:szCs w:val="22"/>
        </w:rPr>
        <w:t xml:space="preserve">. </w:t>
      </w:r>
    </w:p>
    <w:p w:rsidR="00026EF7" w:rsidRPr="00FB2190" w:rsidRDefault="00026EF7" w:rsidP="00026EF7">
      <w:pPr>
        <w:rPr>
          <w:rFonts w:eastAsia="Times New Roman"/>
          <w:iCs/>
          <w:szCs w:val="22"/>
        </w:rPr>
      </w:pPr>
    </w:p>
    <w:p w:rsidR="00026EF7" w:rsidRPr="00FB2190" w:rsidRDefault="00026EF7" w:rsidP="00026EF7">
      <w:pPr>
        <w:rPr>
          <w:rFonts w:eastAsia="Times New Roman"/>
          <w:iCs/>
          <w:szCs w:val="22"/>
        </w:rPr>
      </w:pPr>
      <w:r w:rsidRPr="00FB2190">
        <w:rPr>
          <w:rFonts w:eastAsia="Times New Roman"/>
          <w:iCs/>
          <w:szCs w:val="22"/>
        </w:rPr>
        <w:t>A significant amount of play development activity takes place year-round.  This work aims to find and nurture the most talented new writers and develop the highest quality plays, for which the Royal Court is internationally renowned.  There is an ongoing programme of writers’ attachments, readings, workshops and playwriting groups.</w:t>
      </w:r>
    </w:p>
    <w:p w:rsidR="00026EF7" w:rsidRPr="00FB2190" w:rsidRDefault="00026EF7" w:rsidP="00026EF7">
      <w:pPr>
        <w:rPr>
          <w:rFonts w:eastAsia="Times New Roman"/>
          <w:iCs/>
          <w:szCs w:val="22"/>
        </w:rPr>
      </w:pPr>
    </w:p>
    <w:p w:rsidR="00026EF7" w:rsidRPr="00FB2190" w:rsidRDefault="00026EF7" w:rsidP="00026EF7">
      <w:pPr>
        <w:rPr>
          <w:rFonts w:eastAsia="Times New Roman"/>
          <w:szCs w:val="22"/>
          <w:lang w:val="en-US"/>
        </w:rPr>
      </w:pPr>
      <w:r w:rsidRPr="00FB2190">
        <w:rPr>
          <w:rFonts w:eastAsia="Times New Roman"/>
          <w:iCs/>
          <w:szCs w:val="22"/>
        </w:rPr>
        <w:t>The Royal Court Theatre also has two commercial subsidiaries, Royal Court Theatre Productions Ltd (RCTP), which facilitates the transfer of Royal Court productions to the West End and ESC Catering Limited set up to run the catering operation at the theatre.</w:t>
      </w:r>
    </w:p>
    <w:p w:rsidR="00026EF7" w:rsidRPr="00822D42" w:rsidRDefault="00026EF7" w:rsidP="00026EF7">
      <w:pPr>
        <w:rPr>
          <w:rFonts w:eastAsia="Times New Roman"/>
          <w:iCs/>
          <w:sz w:val="20"/>
        </w:rPr>
      </w:pPr>
    </w:p>
    <w:p w:rsidR="00822D42" w:rsidRDefault="00FB2190" w:rsidP="00822D42">
      <w:pPr>
        <w:spacing w:line="288" w:lineRule="auto"/>
        <w:rPr>
          <w:b/>
          <w:sz w:val="20"/>
        </w:rPr>
      </w:pPr>
      <w:r>
        <w:rPr>
          <w:b/>
          <w:sz w:val="20"/>
        </w:rPr>
        <w:t>MAIN PURPOSE</w:t>
      </w:r>
    </w:p>
    <w:p w:rsidR="00FB2190" w:rsidRPr="0020271F" w:rsidRDefault="00FB2190" w:rsidP="00FB2190">
      <w:pPr>
        <w:jc w:val="both"/>
        <w:rPr>
          <w:rFonts w:cs="Arial"/>
          <w:spacing w:val="-3"/>
          <w:szCs w:val="22"/>
        </w:rPr>
      </w:pPr>
      <w:r>
        <w:rPr>
          <w:rFonts w:cs="Arial"/>
          <w:spacing w:val="-3"/>
          <w:szCs w:val="22"/>
        </w:rPr>
        <w:t>T</w:t>
      </w:r>
      <w:r w:rsidRPr="0020271F">
        <w:rPr>
          <w:rFonts w:cs="Arial"/>
          <w:spacing w:val="-3"/>
          <w:szCs w:val="22"/>
        </w:rPr>
        <w:t>he</w:t>
      </w:r>
      <w:r>
        <w:rPr>
          <w:rFonts w:cs="Arial"/>
          <w:spacing w:val="-3"/>
          <w:szCs w:val="22"/>
        </w:rPr>
        <w:t xml:space="preserve"> </w:t>
      </w:r>
      <w:r w:rsidRPr="0020271F">
        <w:rPr>
          <w:rFonts w:cs="Arial"/>
          <w:spacing w:val="-3"/>
          <w:szCs w:val="22"/>
        </w:rPr>
        <w:t>Development</w:t>
      </w:r>
      <w:r>
        <w:rPr>
          <w:rFonts w:cs="Arial"/>
          <w:spacing w:val="-3"/>
          <w:szCs w:val="22"/>
        </w:rPr>
        <w:t xml:space="preserve"> Director </w:t>
      </w:r>
      <w:r w:rsidRPr="0020271F">
        <w:rPr>
          <w:rFonts w:cs="Arial"/>
          <w:spacing w:val="-3"/>
          <w:szCs w:val="22"/>
        </w:rPr>
        <w:t>is respons</w:t>
      </w:r>
      <w:r>
        <w:rPr>
          <w:rFonts w:cs="Arial"/>
          <w:spacing w:val="-3"/>
          <w:szCs w:val="22"/>
        </w:rPr>
        <w:t>ible for defining and l</w:t>
      </w:r>
      <w:r w:rsidRPr="0020271F">
        <w:rPr>
          <w:rFonts w:cs="Arial"/>
          <w:spacing w:val="-3"/>
          <w:szCs w:val="22"/>
        </w:rPr>
        <w:t>eadi</w:t>
      </w:r>
      <w:r>
        <w:rPr>
          <w:rFonts w:cs="Arial"/>
          <w:spacing w:val="-3"/>
          <w:szCs w:val="22"/>
        </w:rPr>
        <w:t xml:space="preserve">ng the Royal Court’s fundraising strategy, providing major sources of income from individual giving, trusts and foundations and corporate sponsorship. </w:t>
      </w:r>
      <w:r>
        <w:rPr>
          <w:rFonts w:cs="Arial"/>
          <w:szCs w:val="22"/>
        </w:rPr>
        <w:t xml:space="preserve">This includes </w:t>
      </w:r>
      <w:r w:rsidRPr="0020271F">
        <w:rPr>
          <w:rFonts w:cs="Arial"/>
          <w:szCs w:val="22"/>
        </w:rPr>
        <w:t>maintaining and developing existing relationships at the same time as strategically seeking out</w:t>
      </w:r>
      <w:r>
        <w:rPr>
          <w:rFonts w:cs="Arial"/>
          <w:szCs w:val="22"/>
        </w:rPr>
        <w:t xml:space="preserve"> and cultivating new supporters to provide long term and sustainable philanthropic </w:t>
      </w:r>
      <w:r w:rsidR="007248C9">
        <w:rPr>
          <w:rFonts w:cs="Arial"/>
          <w:szCs w:val="22"/>
        </w:rPr>
        <w:t xml:space="preserve">giving to underpin </w:t>
      </w:r>
      <w:r>
        <w:rPr>
          <w:rFonts w:cs="Arial"/>
          <w:szCs w:val="22"/>
        </w:rPr>
        <w:t xml:space="preserve"> the</w:t>
      </w:r>
      <w:r w:rsidR="007248C9">
        <w:rPr>
          <w:rFonts w:cs="Arial"/>
          <w:szCs w:val="22"/>
        </w:rPr>
        <w:t xml:space="preserve"> ambitions of the</w:t>
      </w:r>
      <w:r>
        <w:rPr>
          <w:rFonts w:cs="Arial"/>
          <w:szCs w:val="22"/>
        </w:rPr>
        <w:t xml:space="preserve"> organisation. </w:t>
      </w:r>
    </w:p>
    <w:p w:rsidR="00FB2190" w:rsidRDefault="00FB2190" w:rsidP="00FB2190">
      <w:pPr>
        <w:jc w:val="both"/>
        <w:rPr>
          <w:b/>
          <w:spacing w:val="-3"/>
          <w:szCs w:val="22"/>
        </w:rPr>
      </w:pPr>
    </w:p>
    <w:p w:rsidR="00FB2190" w:rsidRPr="00CB72AA" w:rsidRDefault="00FB2190" w:rsidP="00FB2190">
      <w:pPr>
        <w:jc w:val="both"/>
        <w:rPr>
          <w:rFonts w:cs="Arial"/>
          <w:spacing w:val="-3"/>
          <w:szCs w:val="22"/>
        </w:rPr>
      </w:pPr>
      <w:r w:rsidRPr="00B56FE3">
        <w:rPr>
          <w:rFonts w:cs="Arial"/>
          <w:spacing w:val="-3"/>
          <w:szCs w:val="22"/>
        </w:rPr>
        <w:t xml:space="preserve">The Development </w:t>
      </w:r>
      <w:r>
        <w:rPr>
          <w:rFonts w:cs="Arial"/>
          <w:spacing w:val="-3"/>
          <w:szCs w:val="22"/>
        </w:rPr>
        <w:t xml:space="preserve">Director leads a team of 6 (Deputy Development Director, 2 Development Managers (Individual Giving and Corporate and Events), 2 Development Officers and a Development Trainee) and the team is </w:t>
      </w:r>
      <w:r w:rsidRPr="00B56FE3">
        <w:rPr>
          <w:rFonts w:cs="Arial"/>
          <w:spacing w:val="-3"/>
          <w:szCs w:val="22"/>
        </w:rPr>
        <w:t>responsible for meeting a fundraising target of approx. £1.5 million each year.</w:t>
      </w:r>
      <w:r w:rsidRPr="00CB72AA">
        <w:rPr>
          <w:rFonts w:cs="Arial"/>
          <w:spacing w:val="-3"/>
          <w:szCs w:val="22"/>
        </w:rPr>
        <w:t xml:space="preserve"> </w:t>
      </w:r>
    </w:p>
    <w:p w:rsidR="007E290C" w:rsidRDefault="007E290C" w:rsidP="00822D42">
      <w:pPr>
        <w:spacing w:line="288" w:lineRule="auto"/>
        <w:rPr>
          <w:b/>
          <w:sz w:val="20"/>
        </w:rPr>
      </w:pPr>
    </w:p>
    <w:p w:rsidR="007E290C" w:rsidRDefault="00FB2190" w:rsidP="00822D42">
      <w:pPr>
        <w:spacing w:line="288" w:lineRule="auto"/>
        <w:rPr>
          <w:b/>
          <w:sz w:val="20"/>
        </w:rPr>
      </w:pPr>
      <w:r>
        <w:rPr>
          <w:b/>
          <w:sz w:val="20"/>
        </w:rPr>
        <w:t>RESPONSIBILITIES</w:t>
      </w:r>
    </w:p>
    <w:p w:rsidR="00FB2190" w:rsidRDefault="00FB2190" w:rsidP="00FB2190">
      <w:pPr>
        <w:rPr>
          <w:rFonts w:cs="Arial"/>
          <w:b/>
          <w:szCs w:val="22"/>
        </w:rPr>
      </w:pPr>
      <w:r w:rsidRPr="0020271F">
        <w:rPr>
          <w:rFonts w:cs="Arial"/>
          <w:b/>
          <w:szCs w:val="22"/>
        </w:rPr>
        <w:t>Fundraising</w:t>
      </w:r>
    </w:p>
    <w:p w:rsidR="00FB2190" w:rsidRPr="0020271F" w:rsidRDefault="00FB2190" w:rsidP="00FB2190">
      <w:pPr>
        <w:rPr>
          <w:rFonts w:cs="Arial"/>
          <w:b/>
          <w:szCs w:val="22"/>
        </w:rPr>
      </w:pPr>
    </w:p>
    <w:p w:rsidR="00FB2190" w:rsidRPr="0020271F" w:rsidRDefault="00FB2190" w:rsidP="00FB2190">
      <w:pPr>
        <w:numPr>
          <w:ilvl w:val="0"/>
          <w:numId w:val="12"/>
        </w:numPr>
        <w:rPr>
          <w:rFonts w:cs="Arial"/>
          <w:szCs w:val="22"/>
        </w:rPr>
      </w:pPr>
      <w:r>
        <w:rPr>
          <w:rFonts w:cs="Arial"/>
          <w:szCs w:val="22"/>
        </w:rPr>
        <w:t xml:space="preserve">Achieving </w:t>
      </w:r>
      <w:r w:rsidRPr="0020271F">
        <w:rPr>
          <w:rFonts w:cs="Arial"/>
          <w:szCs w:val="22"/>
        </w:rPr>
        <w:t xml:space="preserve">the Department’s </w:t>
      </w:r>
      <w:r>
        <w:rPr>
          <w:rFonts w:cs="Arial"/>
          <w:szCs w:val="22"/>
        </w:rPr>
        <w:t xml:space="preserve">ambitious </w:t>
      </w:r>
      <w:r w:rsidRPr="0020271F">
        <w:rPr>
          <w:rFonts w:cs="Arial"/>
          <w:szCs w:val="22"/>
        </w:rPr>
        <w:t>fundraising target through individual giving, trust and foundation support and corporate sponsorship.</w:t>
      </w:r>
    </w:p>
    <w:p w:rsidR="00FB2190" w:rsidRPr="0020271F" w:rsidRDefault="00FB2190" w:rsidP="00FB2190">
      <w:pPr>
        <w:numPr>
          <w:ilvl w:val="0"/>
          <w:numId w:val="12"/>
        </w:numPr>
        <w:rPr>
          <w:rFonts w:cs="Arial"/>
          <w:szCs w:val="22"/>
        </w:rPr>
      </w:pPr>
      <w:r>
        <w:rPr>
          <w:rFonts w:cs="Arial"/>
          <w:szCs w:val="22"/>
        </w:rPr>
        <w:t xml:space="preserve">Delivering </w:t>
      </w:r>
      <w:r w:rsidRPr="0020271F">
        <w:rPr>
          <w:rFonts w:cs="Arial"/>
          <w:szCs w:val="22"/>
        </w:rPr>
        <w:t>and manag</w:t>
      </w:r>
      <w:r>
        <w:rPr>
          <w:rFonts w:cs="Arial"/>
          <w:szCs w:val="22"/>
        </w:rPr>
        <w:t>ing</w:t>
      </w:r>
      <w:r w:rsidRPr="0020271F">
        <w:rPr>
          <w:rFonts w:cs="Arial"/>
          <w:szCs w:val="22"/>
        </w:rPr>
        <w:t xml:space="preserve"> the Royal Court’s overall fundraising strategy, refining this in </w:t>
      </w:r>
      <w:r>
        <w:rPr>
          <w:rFonts w:cs="Arial"/>
          <w:szCs w:val="22"/>
        </w:rPr>
        <w:t xml:space="preserve">response to and </w:t>
      </w:r>
      <w:r w:rsidRPr="0020271F">
        <w:rPr>
          <w:rFonts w:cs="Arial"/>
          <w:szCs w:val="22"/>
        </w:rPr>
        <w:t>support of the theatre’s artistic ambitions.</w:t>
      </w:r>
    </w:p>
    <w:p w:rsidR="00FB2190" w:rsidRDefault="00FB2190" w:rsidP="00FB2190">
      <w:pPr>
        <w:numPr>
          <w:ilvl w:val="0"/>
          <w:numId w:val="12"/>
        </w:numPr>
        <w:rPr>
          <w:rFonts w:cs="Arial"/>
          <w:szCs w:val="22"/>
        </w:rPr>
      </w:pPr>
      <w:r>
        <w:rPr>
          <w:rFonts w:cs="Arial"/>
          <w:szCs w:val="22"/>
        </w:rPr>
        <w:t>I</w:t>
      </w:r>
      <w:r w:rsidRPr="0020271F">
        <w:rPr>
          <w:rFonts w:cs="Arial"/>
          <w:szCs w:val="22"/>
        </w:rPr>
        <w:t>dentify and cultivate prospective high-level donors; personally solicit and negotiate donations, and ensure a high level of stewardship.</w:t>
      </w:r>
    </w:p>
    <w:p w:rsidR="00FB2190" w:rsidRDefault="00FB2190" w:rsidP="00FB2190">
      <w:pPr>
        <w:numPr>
          <w:ilvl w:val="0"/>
          <w:numId w:val="12"/>
        </w:numPr>
        <w:rPr>
          <w:rFonts w:cs="Arial"/>
          <w:szCs w:val="22"/>
        </w:rPr>
      </w:pPr>
      <w:r>
        <w:rPr>
          <w:rFonts w:cs="Arial"/>
          <w:szCs w:val="22"/>
        </w:rPr>
        <w:t xml:space="preserve">Cultivating and maintaining excellent relationships with Trusts and Foundations and their key personnel, ensuring reporting is accurate and submitted within required deadlines. </w:t>
      </w:r>
    </w:p>
    <w:p w:rsidR="007248C9" w:rsidRPr="0020271F" w:rsidRDefault="007248C9" w:rsidP="00FB2190">
      <w:pPr>
        <w:numPr>
          <w:ilvl w:val="0"/>
          <w:numId w:val="12"/>
        </w:numPr>
        <w:rPr>
          <w:rFonts w:cs="Arial"/>
          <w:szCs w:val="22"/>
        </w:rPr>
      </w:pPr>
      <w:r>
        <w:rPr>
          <w:rFonts w:cs="Arial"/>
          <w:szCs w:val="22"/>
        </w:rPr>
        <w:lastRenderedPageBreak/>
        <w:t xml:space="preserve">Continually appraise and evaluate </w:t>
      </w:r>
      <w:r w:rsidR="00DC609F">
        <w:rPr>
          <w:rFonts w:cs="Arial"/>
          <w:szCs w:val="22"/>
        </w:rPr>
        <w:t xml:space="preserve">the </w:t>
      </w:r>
      <w:r>
        <w:rPr>
          <w:rFonts w:cs="Arial"/>
          <w:szCs w:val="22"/>
        </w:rPr>
        <w:t xml:space="preserve">fundraising strategies to ensure new and existing funders and donors </w:t>
      </w:r>
      <w:r w:rsidR="00DC609F">
        <w:rPr>
          <w:rFonts w:cs="Arial"/>
          <w:szCs w:val="22"/>
        </w:rPr>
        <w:t>are identified and cultivated within a rapidly changing economic and political environment</w:t>
      </w:r>
    </w:p>
    <w:p w:rsidR="00FB2190" w:rsidRPr="00400E5E" w:rsidRDefault="00FB2190" w:rsidP="00FB2190">
      <w:pPr>
        <w:numPr>
          <w:ilvl w:val="0"/>
          <w:numId w:val="12"/>
        </w:numPr>
        <w:rPr>
          <w:rFonts w:cs="Arial"/>
          <w:szCs w:val="22"/>
        </w:rPr>
      </w:pPr>
      <w:r w:rsidRPr="00400E5E">
        <w:rPr>
          <w:rFonts w:cs="Arial"/>
          <w:szCs w:val="22"/>
        </w:rPr>
        <w:t>Supporting the Executive Producer, Finance Director and General Manager in preparing funding applications and reports for ACE</w:t>
      </w:r>
      <w:r w:rsidR="00403E27">
        <w:rPr>
          <w:rFonts w:cs="Arial"/>
          <w:szCs w:val="22"/>
        </w:rPr>
        <w:t xml:space="preserve"> if required</w:t>
      </w:r>
    </w:p>
    <w:p w:rsidR="00FB2190" w:rsidRPr="0020271F" w:rsidRDefault="00FB2190" w:rsidP="00FB2190">
      <w:pPr>
        <w:numPr>
          <w:ilvl w:val="0"/>
          <w:numId w:val="12"/>
        </w:numPr>
        <w:rPr>
          <w:rFonts w:cs="Arial"/>
          <w:szCs w:val="22"/>
        </w:rPr>
      </w:pPr>
      <w:r>
        <w:rPr>
          <w:rFonts w:cs="Arial"/>
          <w:szCs w:val="22"/>
        </w:rPr>
        <w:t xml:space="preserve">Lead </w:t>
      </w:r>
      <w:r w:rsidRPr="0020271F">
        <w:rPr>
          <w:rFonts w:cs="Arial"/>
          <w:szCs w:val="22"/>
        </w:rPr>
        <w:t>on grant applications to local, national and international funding bodies.</w:t>
      </w:r>
    </w:p>
    <w:p w:rsidR="00FB2190" w:rsidRDefault="00FB2190" w:rsidP="00FB2190">
      <w:pPr>
        <w:numPr>
          <w:ilvl w:val="0"/>
          <w:numId w:val="12"/>
        </w:numPr>
        <w:rPr>
          <w:rFonts w:cs="Arial"/>
          <w:szCs w:val="22"/>
        </w:rPr>
      </w:pPr>
      <w:r>
        <w:rPr>
          <w:rFonts w:cs="Arial"/>
          <w:szCs w:val="22"/>
        </w:rPr>
        <w:t>Devising</w:t>
      </w:r>
      <w:r w:rsidRPr="0020271F">
        <w:rPr>
          <w:rFonts w:cs="Arial"/>
          <w:szCs w:val="22"/>
        </w:rPr>
        <w:t xml:space="preserve"> and oversee</w:t>
      </w:r>
      <w:r>
        <w:rPr>
          <w:rFonts w:cs="Arial"/>
          <w:szCs w:val="22"/>
        </w:rPr>
        <w:t xml:space="preserve">ing </w:t>
      </w:r>
      <w:r w:rsidRPr="0020271F">
        <w:rPr>
          <w:rFonts w:cs="Arial"/>
          <w:szCs w:val="22"/>
        </w:rPr>
        <w:t>major fundraising</w:t>
      </w:r>
      <w:r>
        <w:rPr>
          <w:rFonts w:cs="Arial"/>
          <w:szCs w:val="22"/>
        </w:rPr>
        <w:t xml:space="preserve"> campaigns and events</w:t>
      </w:r>
    </w:p>
    <w:p w:rsidR="00FB2190" w:rsidRPr="0007590E" w:rsidRDefault="00FB2190" w:rsidP="00FB2190">
      <w:pPr>
        <w:numPr>
          <w:ilvl w:val="0"/>
          <w:numId w:val="12"/>
        </w:numPr>
        <w:rPr>
          <w:rFonts w:cs="Arial"/>
          <w:szCs w:val="22"/>
        </w:rPr>
      </w:pPr>
      <w:r w:rsidRPr="0007590E">
        <w:rPr>
          <w:rFonts w:cs="Arial"/>
          <w:szCs w:val="22"/>
        </w:rPr>
        <w:t xml:space="preserve">Keeping </w:t>
      </w:r>
      <w:r>
        <w:rPr>
          <w:rFonts w:cs="Arial"/>
          <w:szCs w:val="22"/>
        </w:rPr>
        <w:t xml:space="preserve">up to date and </w:t>
      </w:r>
      <w:r w:rsidRPr="0007590E">
        <w:rPr>
          <w:rFonts w:cs="Arial"/>
          <w:szCs w:val="22"/>
        </w:rPr>
        <w:t>informed</w:t>
      </w:r>
      <w:r>
        <w:rPr>
          <w:rFonts w:cs="Arial"/>
          <w:szCs w:val="22"/>
        </w:rPr>
        <w:t xml:space="preserve"> about </w:t>
      </w:r>
      <w:r w:rsidRPr="0007590E">
        <w:rPr>
          <w:rFonts w:cs="Arial"/>
          <w:szCs w:val="22"/>
        </w:rPr>
        <w:t xml:space="preserve">current issues and developments in the fundraising sector generally and arts funding in particular </w:t>
      </w:r>
    </w:p>
    <w:p w:rsidR="00FB2190" w:rsidRPr="0020271F" w:rsidRDefault="00FB2190" w:rsidP="00FB2190">
      <w:pPr>
        <w:rPr>
          <w:rFonts w:cs="Arial"/>
          <w:szCs w:val="22"/>
        </w:rPr>
      </w:pPr>
    </w:p>
    <w:p w:rsidR="00FB2190" w:rsidRDefault="00FB2190" w:rsidP="00FB2190">
      <w:pPr>
        <w:rPr>
          <w:rFonts w:cs="Arial"/>
          <w:b/>
          <w:szCs w:val="22"/>
        </w:rPr>
      </w:pPr>
      <w:r w:rsidRPr="0020271F">
        <w:rPr>
          <w:rFonts w:cs="Arial"/>
          <w:b/>
          <w:szCs w:val="22"/>
        </w:rPr>
        <w:t>Relationship Management</w:t>
      </w:r>
    </w:p>
    <w:p w:rsidR="00FB2190" w:rsidRPr="0020271F" w:rsidRDefault="00FB2190" w:rsidP="00FB2190">
      <w:pPr>
        <w:rPr>
          <w:rFonts w:cs="Arial"/>
          <w:b/>
          <w:szCs w:val="22"/>
        </w:rPr>
      </w:pPr>
    </w:p>
    <w:p w:rsidR="00FB2190" w:rsidRPr="0020271F" w:rsidRDefault="00FB2190" w:rsidP="00FB2190">
      <w:pPr>
        <w:numPr>
          <w:ilvl w:val="0"/>
          <w:numId w:val="13"/>
        </w:numPr>
        <w:rPr>
          <w:rFonts w:cs="Arial"/>
          <w:szCs w:val="22"/>
        </w:rPr>
      </w:pPr>
      <w:r>
        <w:rPr>
          <w:rFonts w:cs="Arial"/>
          <w:szCs w:val="22"/>
        </w:rPr>
        <w:t xml:space="preserve">Ensuring </w:t>
      </w:r>
      <w:r w:rsidRPr="0020271F">
        <w:rPr>
          <w:rFonts w:cs="Arial"/>
          <w:szCs w:val="22"/>
        </w:rPr>
        <w:t>the delivery of benefits and appropriate reporting to all donors and supporters.</w:t>
      </w:r>
    </w:p>
    <w:p w:rsidR="00FB2190" w:rsidRPr="0020271F" w:rsidRDefault="00FB2190" w:rsidP="00FB2190">
      <w:pPr>
        <w:numPr>
          <w:ilvl w:val="0"/>
          <w:numId w:val="13"/>
        </w:numPr>
        <w:rPr>
          <w:rFonts w:cs="Arial"/>
          <w:szCs w:val="22"/>
        </w:rPr>
      </w:pPr>
      <w:r>
        <w:rPr>
          <w:rFonts w:cs="Arial"/>
          <w:szCs w:val="22"/>
        </w:rPr>
        <w:t xml:space="preserve">Maintaining </w:t>
      </w:r>
      <w:r w:rsidRPr="0020271F">
        <w:rPr>
          <w:rFonts w:cs="Arial"/>
          <w:szCs w:val="22"/>
        </w:rPr>
        <w:t>and develop</w:t>
      </w:r>
      <w:r>
        <w:rPr>
          <w:rFonts w:cs="Arial"/>
          <w:szCs w:val="22"/>
        </w:rPr>
        <w:t>ing</w:t>
      </w:r>
      <w:r w:rsidRPr="0020271F">
        <w:rPr>
          <w:rFonts w:cs="Arial"/>
          <w:szCs w:val="22"/>
        </w:rPr>
        <w:t xml:space="preserve"> particularly strong relationships with major donors in the UK</w:t>
      </w:r>
      <w:r>
        <w:rPr>
          <w:rFonts w:cs="Arial"/>
          <w:szCs w:val="22"/>
        </w:rPr>
        <w:t xml:space="preserve"> and Internationally </w:t>
      </w:r>
    </w:p>
    <w:p w:rsidR="00FB2190" w:rsidRPr="0020271F" w:rsidRDefault="00FB2190" w:rsidP="00FB2190">
      <w:pPr>
        <w:numPr>
          <w:ilvl w:val="0"/>
          <w:numId w:val="13"/>
        </w:numPr>
        <w:rPr>
          <w:rFonts w:cs="Arial"/>
          <w:szCs w:val="22"/>
        </w:rPr>
      </w:pPr>
      <w:r>
        <w:rPr>
          <w:rFonts w:cs="Arial"/>
          <w:szCs w:val="22"/>
        </w:rPr>
        <w:t xml:space="preserve">Ensure </w:t>
      </w:r>
      <w:r w:rsidRPr="0020271F">
        <w:rPr>
          <w:rFonts w:cs="Arial"/>
          <w:szCs w:val="22"/>
        </w:rPr>
        <w:t xml:space="preserve">existing and potential partnerships reflect and are in keeping with the Royal Court’s artistic ambition and ethos. </w:t>
      </w:r>
    </w:p>
    <w:p w:rsidR="00FB2190" w:rsidRPr="0020271F" w:rsidRDefault="00FB2190" w:rsidP="00FB2190">
      <w:pPr>
        <w:numPr>
          <w:ilvl w:val="0"/>
          <w:numId w:val="13"/>
        </w:numPr>
        <w:rPr>
          <w:rFonts w:cs="Arial"/>
          <w:szCs w:val="22"/>
        </w:rPr>
      </w:pPr>
      <w:r>
        <w:rPr>
          <w:rFonts w:cs="Arial"/>
          <w:szCs w:val="22"/>
        </w:rPr>
        <w:t xml:space="preserve">Developing </w:t>
      </w:r>
      <w:r w:rsidRPr="0020271F">
        <w:rPr>
          <w:rFonts w:cs="Arial"/>
          <w:szCs w:val="22"/>
        </w:rPr>
        <w:t>and manag</w:t>
      </w:r>
      <w:r>
        <w:rPr>
          <w:rFonts w:cs="Arial"/>
          <w:szCs w:val="22"/>
        </w:rPr>
        <w:t>ing</w:t>
      </w:r>
      <w:r w:rsidRPr="0020271F">
        <w:rPr>
          <w:rFonts w:cs="Arial"/>
          <w:szCs w:val="22"/>
        </w:rPr>
        <w:t xml:space="preserve"> effective partnerships between key stakeholders and the Royal Court’s internal community.</w:t>
      </w:r>
    </w:p>
    <w:p w:rsidR="00FB2190" w:rsidRPr="0020271F" w:rsidRDefault="00FB2190" w:rsidP="00FB2190">
      <w:pPr>
        <w:numPr>
          <w:ilvl w:val="0"/>
          <w:numId w:val="13"/>
        </w:numPr>
        <w:rPr>
          <w:rFonts w:cs="Arial"/>
          <w:szCs w:val="22"/>
        </w:rPr>
      </w:pPr>
      <w:r>
        <w:rPr>
          <w:rFonts w:cs="Arial"/>
          <w:szCs w:val="22"/>
        </w:rPr>
        <w:t xml:space="preserve">Extending </w:t>
      </w:r>
      <w:r w:rsidRPr="0020271F">
        <w:rPr>
          <w:rFonts w:cs="Arial"/>
          <w:szCs w:val="22"/>
        </w:rPr>
        <w:t>and sustain</w:t>
      </w:r>
      <w:r>
        <w:rPr>
          <w:rFonts w:cs="Arial"/>
          <w:szCs w:val="22"/>
        </w:rPr>
        <w:t>ing</w:t>
      </w:r>
      <w:r w:rsidRPr="0020271F">
        <w:rPr>
          <w:rFonts w:cs="Arial"/>
          <w:szCs w:val="22"/>
        </w:rPr>
        <w:t xml:space="preserve"> the company’s business, community and local government connections</w:t>
      </w:r>
    </w:p>
    <w:p w:rsidR="00FB2190" w:rsidRPr="0020271F" w:rsidRDefault="00FB2190" w:rsidP="00FB2190">
      <w:pPr>
        <w:numPr>
          <w:ilvl w:val="0"/>
          <w:numId w:val="13"/>
        </w:numPr>
        <w:rPr>
          <w:rFonts w:cs="Arial"/>
          <w:szCs w:val="22"/>
        </w:rPr>
      </w:pPr>
      <w:r w:rsidRPr="0020271F">
        <w:rPr>
          <w:rFonts w:cs="Arial"/>
          <w:szCs w:val="22"/>
        </w:rPr>
        <w:t>Work</w:t>
      </w:r>
      <w:r>
        <w:rPr>
          <w:rFonts w:cs="Arial"/>
          <w:szCs w:val="22"/>
        </w:rPr>
        <w:t xml:space="preserve">ing </w:t>
      </w:r>
      <w:r w:rsidRPr="0020271F">
        <w:rPr>
          <w:rFonts w:cs="Arial"/>
          <w:szCs w:val="22"/>
        </w:rPr>
        <w:t>with all departments in the organisation to ensure there is an appropriate level of understanding of the relationships we have and need with funders</w:t>
      </w:r>
    </w:p>
    <w:p w:rsidR="00FB2190" w:rsidRDefault="00FB2190" w:rsidP="00FB2190">
      <w:pPr>
        <w:numPr>
          <w:ilvl w:val="0"/>
          <w:numId w:val="13"/>
        </w:numPr>
        <w:rPr>
          <w:rFonts w:cs="Arial"/>
          <w:szCs w:val="22"/>
        </w:rPr>
      </w:pPr>
      <w:r>
        <w:rPr>
          <w:rFonts w:cs="Arial"/>
          <w:szCs w:val="22"/>
        </w:rPr>
        <w:t xml:space="preserve">Representing </w:t>
      </w:r>
      <w:r w:rsidRPr="0020271F">
        <w:rPr>
          <w:rFonts w:cs="Arial"/>
          <w:szCs w:val="22"/>
        </w:rPr>
        <w:t xml:space="preserve">the Royal Court at external events and industry gatherings, cultivating Development networks and sharing information and best practice. </w:t>
      </w:r>
    </w:p>
    <w:p w:rsidR="00FB2190" w:rsidRPr="0020271F" w:rsidRDefault="00FB2190" w:rsidP="00FB2190">
      <w:pPr>
        <w:numPr>
          <w:ilvl w:val="0"/>
          <w:numId w:val="13"/>
        </w:numPr>
        <w:rPr>
          <w:rFonts w:cs="Arial"/>
          <w:szCs w:val="22"/>
        </w:rPr>
      </w:pPr>
      <w:r>
        <w:rPr>
          <w:rFonts w:cs="Arial"/>
          <w:szCs w:val="22"/>
        </w:rPr>
        <w:t>Advocacy for the Royal Court’s artistic programme</w:t>
      </w:r>
    </w:p>
    <w:p w:rsidR="00FB2190" w:rsidRPr="0020271F" w:rsidRDefault="00FB2190" w:rsidP="00FB2190">
      <w:pPr>
        <w:numPr>
          <w:ilvl w:val="0"/>
          <w:numId w:val="13"/>
        </w:numPr>
        <w:rPr>
          <w:rFonts w:cs="Arial"/>
          <w:szCs w:val="22"/>
        </w:rPr>
      </w:pPr>
      <w:r>
        <w:rPr>
          <w:rFonts w:cs="Arial"/>
          <w:szCs w:val="22"/>
        </w:rPr>
        <w:t xml:space="preserve">Maintaining a </w:t>
      </w:r>
      <w:r w:rsidRPr="0020271F">
        <w:rPr>
          <w:rFonts w:cs="Arial"/>
          <w:szCs w:val="22"/>
        </w:rPr>
        <w:t>connection</w:t>
      </w:r>
      <w:r>
        <w:rPr>
          <w:rFonts w:cs="Arial"/>
          <w:szCs w:val="22"/>
        </w:rPr>
        <w:t xml:space="preserve"> to the ESC Council Chair, t</w:t>
      </w:r>
      <w:r w:rsidRPr="0020271F">
        <w:rPr>
          <w:rFonts w:cs="Arial"/>
          <w:szCs w:val="22"/>
        </w:rPr>
        <w:t>rustees and key development volunteers.</w:t>
      </w:r>
    </w:p>
    <w:p w:rsidR="00FB2190" w:rsidRPr="0020271F" w:rsidRDefault="00FB2190" w:rsidP="00FB2190">
      <w:pPr>
        <w:numPr>
          <w:ilvl w:val="0"/>
          <w:numId w:val="13"/>
        </w:numPr>
        <w:rPr>
          <w:rFonts w:cs="Arial"/>
          <w:szCs w:val="22"/>
        </w:rPr>
      </w:pPr>
      <w:r w:rsidRPr="0020271F">
        <w:rPr>
          <w:rFonts w:cs="Arial"/>
          <w:szCs w:val="22"/>
        </w:rPr>
        <w:t xml:space="preserve">Lead the volunteer Development Advocates, organising regular committee meetings and ensuring they are motivated and connected to the work of the company. </w:t>
      </w:r>
      <w:r>
        <w:rPr>
          <w:rFonts w:cs="Arial"/>
          <w:szCs w:val="22"/>
        </w:rPr>
        <w:t xml:space="preserve"> Refreshing the membership of the Advocates when required to ensure engagement is maintained. </w:t>
      </w:r>
    </w:p>
    <w:p w:rsidR="00FB2190" w:rsidRPr="0007590E" w:rsidRDefault="00FB2190" w:rsidP="00FB2190">
      <w:pPr>
        <w:numPr>
          <w:ilvl w:val="0"/>
          <w:numId w:val="13"/>
        </w:numPr>
        <w:rPr>
          <w:rFonts w:cs="Arial"/>
          <w:szCs w:val="22"/>
        </w:rPr>
      </w:pPr>
      <w:r>
        <w:rPr>
          <w:rFonts w:cs="Arial"/>
          <w:szCs w:val="22"/>
        </w:rPr>
        <w:t xml:space="preserve">Writing a quarterly report for ESC Board and attending </w:t>
      </w:r>
      <w:r w:rsidRPr="0020271F">
        <w:rPr>
          <w:rFonts w:cs="Arial"/>
          <w:szCs w:val="22"/>
        </w:rPr>
        <w:t xml:space="preserve">Board meetings </w:t>
      </w:r>
      <w:r>
        <w:rPr>
          <w:rFonts w:cs="Arial"/>
          <w:szCs w:val="22"/>
        </w:rPr>
        <w:t xml:space="preserve">occasionally when </w:t>
      </w:r>
      <w:r w:rsidRPr="0020271F">
        <w:rPr>
          <w:rFonts w:cs="Arial"/>
          <w:szCs w:val="22"/>
        </w:rPr>
        <w:t>required.</w:t>
      </w:r>
    </w:p>
    <w:p w:rsidR="00FB2190" w:rsidRPr="0020271F" w:rsidRDefault="00FB2190" w:rsidP="00FB2190">
      <w:pPr>
        <w:numPr>
          <w:ilvl w:val="0"/>
          <w:numId w:val="13"/>
        </w:numPr>
        <w:rPr>
          <w:rFonts w:cs="Arial"/>
          <w:szCs w:val="22"/>
        </w:rPr>
      </w:pPr>
      <w:r w:rsidRPr="0020271F">
        <w:rPr>
          <w:rFonts w:cs="Arial"/>
          <w:szCs w:val="22"/>
        </w:rPr>
        <w:t xml:space="preserve">Management of bursaries and awards for specific projects and / or posts. </w:t>
      </w:r>
    </w:p>
    <w:p w:rsidR="00FB2190" w:rsidRPr="0020271F" w:rsidRDefault="00FB2190" w:rsidP="00FB2190">
      <w:pPr>
        <w:rPr>
          <w:rFonts w:cs="Arial"/>
          <w:szCs w:val="22"/>
        </w:rPr>
      </w:pPr>
    </w:p>
    <w:p w:rsidR="00FB2190" w:rsidRDefault="00FB2190" w:rsidP="00FB2190">
      <w:pPr>
        <w:rPr>
          <w:rFonts w:cs="Arial"/>
          <w:b/>
          <w:szCs w:val="22"/>
        </w:rPr>
      </w:pPr>
      <w:r w:rsidRPr="0020271F">
        <w:rPr>
          <w:rFonts w:cs="Arial"/>
          <w:b/>
          <w:szCs w:val="22"/>
        </w:rPr>
        <w:t>Team Management</w:t>
      </w:r>
    </w:p>
    <w:p w:rsidR="00FB2190" w:rsidRPr="0020271F" w:rsidRDefault="00FB2190" w:rsidP="00FB2190">
      <w:pPr>
        <w:rPr>
          <w:rFonts w:cs="Arial"/>
          <w:b/>
          <w:szCs w:val="22"/>
        </w:rPr>
      </w:pPr>
    </w:p>
    <w:p w:rsidR="00FB2190" w:rsidRDefault="00FB2190" w:rsidP="00FB2190">
      <w:pPr>
        <w:numPr>
          <w:ilvl w:val="0"/>
          <w:numId w:val="13"/>
        </w:numPr>
        <w:rPr>
          <w:rFonts w:cs="Arial"/>
          <w:szCs w:val="22"/>
        </w:rPr>
      </w:pPr>
      <w:r>
        <w:rPr>
          <w:rFonts w:cs="Arial"/>
          <w:szCs w:val="22"/>
        </w:rPr>
        <w:t xml:space="preserve">Provide inspiring and effective leadership of </w:t>
      </w:r>
      <w:r w:rsidRPr="0020271F">
        <w:rPr>
          <w:rFonts w:cs="Arial"/>
          <w:szCs w:val="22"/>
        </w:rPr>
        <w:t>the</w:t>
      </w:r>
      <w:r>
        <w:rPr>
          <w:rFonts w:cs="Arial"/>
          <w:szCs w:val="22"/>
        </w:rPr>
        <w:t xml:space="preserve"> Development team</w:t>
      </w:r>
      <w:r w:rsidRPr="0020271F">
        <w:rPr>
          <w:rFonts w:cs="Arial"/>
          <w:szCs w:val="22"/>
        </w:rPr>
        <w:t xml:space="preserve"> and ensure that staff are supported and </w:t>
      </w:r>
      <w:r w:rsidR="00DC609F">
        <w:rPr>
          <w:rFonts w:cs="Arial"/>
          <w:szCs w:val="22"/>
        </w:rPr>
        <w:t>successfully</w:t>
      </w:r>
      <w:r>
        <w:rPr>
          <w:rFonts w:cs="Arial"/>
          <w:szCs w:val="22"/>
        </w:rPr>
        <w:t xml:space="preserve"> </w:t>
      </w:r>
      <w:r w:rsidRPr="0020271F">
        <w:rPr>
          <w:rFonts w:cs="Arial"/>
          <w:szCs w:val="22"/>
        </w:rPr>
        <w:t xml:space="preserve">managed. </w:t>
      </w:r>
    </w:p>
    <w:p w:rsidR="00FB2190" w:rsidRDefault="00FB2190" w:rsidP="00FB2190">
      <w:pPr>
        <w:numPr>
          <w:ilvl w:val="0"/>
          <w:numId w:val="13"/>
        </w:numPr>
        <w:rPr>
          <w:rFonts w:cs="Arial"/>
          <w:szCs w:val="22"/>
        </w:rPr>
      </w:pPr>
      <w:r>
        <w:rPr>
          <w:rFonts w:cs="Arial"/>
          <w:szCs w:val="22"/>
        </w:rPr>
        <w:t xml:space="preserve">Undertake regular appraisals and ensure the team remain motivated and engaged with the artistic programme and the wider strategic vision for the Royal Court. </w:t>
      </w:r>
    </w:p>
    <w:p w:rsidR="00FB2190" w:rsidRDefault="00FB2190" w:rsidP="00FB2190">
      <w:pPr>
        <w:numPr>
          <w:ilvl w:val="0"/>
          <w:numId w:val="13"/>
        </w:numPr>
        <w:rPr>
          <w:rFonts w:cs="Arial"/>
          <w:szCs w:val="22"/>
        </w:rPr>
      </w:pPr>
      <w:r>
        <w:rPr>
          <w:rFonts w:cs="Arial"/>
          <w:szCs w:val="22"/>
        </w:rPr>
        <w:t xml:space="preserve">Schedule and lead regular team meetings </w:t>
      </w:r>
    </w:p>
    <w:p w:rsidR="00FB2190" w:rsidRDefault="00FB2190" w:rsidP="00FB2190">
      <w:pPr>
        <w:numPr>
          <w:ilvl w:val="0"/>
          <w:numId w:val="13"/>
        </w:numPr>
        <w:rPr>
          <w:rFonts w:cs="Arial"/>
          <w:szCs w:val="22"/>
        </w:rPr>
      </w:pPr>
      <w:r>
        <w:rPr>
          <w:rFonts w:cs="Arial"/>
          <w:szCs w:val="22"/>
        </w:rPr>
        <w:t xml:space="preserve">Attend regular Heads of Department meetings and ensure issues and information covered in this meeting are communicated appropriately to the rest of the Development team. </w:t>
      </w:r>
    </w:p>
    <w:p w:rsidR="00FB2190" w:rsidRPr="00A82E70" w:rsidRDefault="00FB2190" w:rsidP="00FB2190">
      <w:pPr>
        <w:numPr>
          <w:ilvl w:val="0"/>
          <w:numId w:val="13"/>
        </w:numPr>
        <w:rPr>
          <w:rFonts w:cs="Arial"/>
          <w:szCs w:val="22"/>
        </w:rPr>
      </w:pPr>
      <w:r>
        <w:rPr>
          <w:rFonts w:cs="Arial"/>
          <w:szCs w:val="22"/>
        </w:rPr>
        <w:t xml:space="preserve">Responsibility for the recruitment (with the General Manager) of new staff and the training and ongoing professional development of the Development team. </w:t>
      </w:r>
    </w:p>
    <w:p w:rsidR="00FB2190" w:rsidRPr="0020271F" w:rsidRDefault="00FB2190" w:rsidP="00FB2190">
      <w:pPr>
        <w:tabs>
          <w:tab w:val="left" w:pos="3261"/>
        </w:tabs>
        <w:rPr>
          <w:szCs w:val="22"/>
        </w:rPr>
      </w:pPr>
    </w:p>
    <w:p w:rsidR="00FB2190" w:rsidRPr="00A82E70" w:rsidRDefault="00FB2190" w:rsidP="00FB2190">
      <w:pPr>
        <w:rPr>
          <w:rFonts w:cs="Arial"/>
          <w:b/>
          <w:szCs w:val="22"/>
        </w:rPr>
      </w:pPr>
      <w:r>
        <w:rPr>
          <w:rFonts w:cs="Arial"/>
          <w:b/>
          <w:szCs w:val="22"/>
        </w:rPr>
        <w:t>Finance</w:t>
      </w:r>
    </w:p>
    <w:p w:rsidR="007E07C2" w:rsidRDefault="00FB2190" w:rsidP="007E07C2">
      <w:pPr>
        <w:numPr>
          <w:ilvl w:val="0"/>
          <w:numId w:val="13"/>
        </w:numPr>
        <w:rPr>
          <w:rFonts w:cs="Arial"/>
          <w:szCs w:val="22"/>
        </w:rPr>
      </w:pPr>
      <w:r>
        <w:rPr>
          <w:rFonts w:cs="Arial"/>
          <w:szCs w:val="22"/>
        </w:rPr>
        <w:lastRenderedPageBreak/>
        <w:t xml:space="preserve">Working with the Finance Director to </w:t>
      </w:r>
      <w:r w:rsidR="007E07C2">
        <w:rPr>
          <w:rFonts w:cs="Arial"/>
          <w:szCs w:val="22"/>
        </w:rPr>
        <w:t xml:space="preserve">monitor income </w:t>
      </w:r>
      <w:r>
        <w:rPr>
          <w:rFonts w:cs="Arial"/>
          <w:szCs w:val="22"/>
        </w:rPr>
        <w:t xml:space="preserve">targets on a monthly basis and ensure </w:t>
      </w:r>
      <w:r w:rsidR="007E07C2">
        <w:rPr>
          <w:rFonts w:cs="Arial"/>
          <w:szCs w:val="22"/>
        </w:rPr>
        <w:t>that information is as up to date as it can be for the Finance Director to report to the Board and Executive</w:t>
      </w:r>
    </w:p>
    <w:p w:rsidR="002C6BCB" w:rsidRDefault="002C6BCB" w:rsidP="00E13153">
      <w:pPr>
        <w:rPr>
          <w:rFonts w:cs="Arial"/>
          <w:szCs w:val="22"/>
        </w:rPr>
      </w:pPr>
    </w:p>
    <w:p w:rsidR="00E13153" w:rsidRPr="00E13153" w:rsidRDefault="007E07C2" w:rsidP="00E13153">
      <w:pPr>
        <w:numPr>
          <w:ilvl w:val="0"/>
          <w:numId w:val="13"/>
        </w:numPr>
        <w:rPr>
          <w:rFonts w:cs="Arial"/>
          <w:szCs w:val="22"/>
        </w:rPr>
      </w:pPr>
      <w:r w:rsidRPr="007E07C2">
        <w:rPr>
          <w:rFonts w:cs="Arial"/>
          <w:szCs w:val="22"/>
        </w:rPr>
        <w:t xml:space="preserve">Review the </w:t>
      </w:r>
      <w:r w:rsidRPr="007E07C2">
        <w:rPr>
          <w:rFonts w:cs="Arial"/>
          <w:szCs w:val="22"/>
        </w:rPr>
        <w:t xml:space="preserve">management of the Department’s expenditure in areas which are delegated and </w:t>
      </w:r>
      <w:r>
        <w:rPr>
          <w:rFonts w:cs="Arial"/>
          <w:szCs w:val="22"/>
        </w:rPr>
        <w:t>check</w:t>
      </w:r>
      <w:r w:rsidRPr="007E07C2">
        <w:rPr>
          <w:rFonts w:cs="Arial"/>
          <w:szCs w:val="22"/>
        </w:rPr>
        <w:t xml:space="preserve"> monthly with the Finance Director</w:t>
      </w:r>
      <w:r w:rsidR="00E13153">
        <w:rPr>
          <w:rFonts w:cs="Arial"/>
          <w:szCs w:val="22"/>
        </w:rPr>
        <w:t xml:space="preserve">. </w:t>
      </w:r>
    </w:p>
    <w:p w:rsidR="007E07C2" w:rsidRDefault="007E07C2" w:rsidP="007E07C2">
      <w:pPr>
        <w:numPr>
          <w:ilvl w:val="0"/>
          <w:numId w:val="13"/>
        </w:numPr>
        <w:rPr>
          <w:rFonts w:cs="Arial"/>
          <w:szCs w:val="22"/>
        </w:rPr>
      </w:pPr>
      <w:r>
        <w:rPr>
          <w:rFonts w:cs="Arial"/>
          <w:szCs w:val="22"/>
        </w:rPr>
        <w:t xml:space="preserve">Manage the transition from Raisers Edge to Spektrix ensuring all the information is available for Development and Finance needs </w:t>
      </w:r>
    </w:p>
    <w:p w:rsidR="00FB2190" w:rsidRPr="007E07C2" w:rsidRDefault="007E07C2" w:rsidP="007E07C2">
      <w:pPr>
        <w:numPr>
          <w:ilvl w:val="0"/>
          <w:numId w:val="13"/>
        </w:numPr>
        <w:rPr>
          <w:rFonts w:cs="Arial"/>
          <w:szCs w:val="22"/>
        </w:rPr>
      </w:pPr>
      <w:r>
        <w:rPr>
          <w:rFonts w:cs="Arial"/>
          <w:szCs w:val="22"/>
        </w:rPr>
        <w:t>Ensure Gift Aid is accurately recorded for all the income streams using Spektrix and work with the Finance Director towards digitalising the collection process via HMRC</w:t>
      </w:r>
    </w:p>
    <w:p w:rsidR="00FB2190" w:rsidRDefault="00FB2190" w:rsidP="00FB2190">
      <w:pPr>
        <w:numPr>
          <w:ilvl w:val="0"/>
          <w:numId w:val="13"/>
        </w:numPr>
        <w:rPr>
          <w:rFonts w:cs="Arial"/>
          <w:szCs w:val="22"/>
        </w:rPr>
      </w:pPr>
      <w:r w:rsidRPr="00A82E70">
        <w:rPr>
          <w:rFonts w:cs="Arial"/>
          <w:szCs w:val="22"/>
        </w:rPr>
        <w:t>With support from Finance Director, set project budgets and submit financial reports for funding applications.</w:t>
      </w:r>
    </w:p>
    <w:p w:rsidR="007248C9" w:rsidRDefault="007248C9" w:rsidP="00FB2190">
      <w:pPr>
        <w:numPr>
          <w:ilvl w:val="0"/>
          <w:numId w:val="13"/>
        </w:numPr>
        <w:rPr>
          <w:rFonts w:cs="Arial"/>
          <w:szCs w:val="22"/>
        </w:rPr>
      </w:pPr>
      <w:r>
        <w:rPr>
          <w:rFonts w:cs="Arial"/>
          <w:szCs w:val="22"/>
        </w:rPr>
        <w:t>Reconcile the income recorded between the finance records and Spektrix</w:t>
      </w:r>
    </w:p>
    <w:p w:rsidR="007E07C2" w:rsidRDefault="007E07C2" w:rsidP="00FB2190">
      <w:pPr>
        <w:numPr>
          <w:ilvl w:val="0"/>
          <w:numId w:val="13"/>
        </w:numPr>
        <w:rPr>
          <w:rFonts w:cs="Arial"/>
          <w:szCs w:val="22"/>
        </w:rPr>
      </w:pPr>
      <w:r>
        <w:rPr>
          <w:rFonts w:cs="Arial"/>
          <w:szCs w:val="22"/>
        </w:rPr>
        <w:t xml:space="preserve">Work with the Finance Director to ensure </w:t>
      </w:r>
      <w:r w:rsidR="002C6BCB">
        <w:rPr>
          <w:rFonts w:cs="Arial"/>
          <w:szCs w:val="22"/>
        </w:rPr>
        <w:t>income</w:t>
      </w:r>
      <w:r>
        <w:rPr>
          <w:rFonts w:cs="Arial"/>
          <w:szCs w:val="22"/>
        </w:rPr>
        <w:t xml:space="preserve"> expectations </w:t>
      </w:r>
      <w:r w:rsidR="002C6BCB">
        <w:rPr>
          <w:rFonts w:cs="Arial"/>
          <w:szCs w:val="22"/>
        </w:rPr>
        <w:t xml:space="preserve">are managed across the organisation </w:t>
      </w:r>
      <w:r>
        <w:rPr>
          <w:rFonts w:cs="Arial"/>
          <w:szCs w:val="22"/>
        </w:rPr>
        <w:t xml:space="preserve">and </w:t>
      </w:r>
      <w:r w:rsidR="002C6BCB">
        <w:rPr>
          <w:rFonts w:cs="Arial"/>
          <w:szCs w:val="22"/>
        </w:rPr>
        <w:t>the</w:t>
      </w:r>
      <w:r>
        <w:rPr>
          <w:rFonts w:cs="Arial"/>
          <w:szCs w:val="22"/>
        </w:rPr>
        <w:t xml:space="preserve"> allocation of funding </w:t>
      </w:r>
      <w:r w:rsidR="002C6BCB">
        <w:rPr>
          <w:rFonts w:cs="Arial"/>
          <w:szCs w:val="22"/>
        </w:rPr>
        <w:t>between</w:t>
      </w:r>
      <w:r>
        <w:rPr>
          <w:rFonts w:cs="Arial"/>
          <w:szCs w:val="22"/>
        </w:rPr>
        <w:t xml:space="preserve"> projects and core activity</w:t>
      </w:r>
      <w:r w:rsidR="002C6BCB">
        <w:rPr>
          <w:rFonts w:cs="Arial"/>
          <w:szCs w:val="22"/>
        </w:rPr>
        <w:t xml:space="preserve"> is accurately allocated</w:t>
      </w:r>
    </w:p>
    <w:p w:rsidR="00FB2190" w:rsidRDefault="00FB2190" w:rsidP="00FB2190">
      <w:pPr>
        <w:rPr>
          <w:rFonts w:cs="Arial"/>
          <w:szCs w:val="22"/>
        </w:rPr>
      </w:pPr>
    </w:p>
    <w:p w:rsidR="00FB2190" w:rsidRPr="00A82E70" w:rsidRDefault="00FB2190" w:rsidP="00FB2190">
      <w:pPr>
        <w:rPr>
          <w:rFonts w:cs="Arial"/>
          <w:b/>
          <w:szCs w:val="22"/>
        </w:rPr>
      </w:pPr>
      <w:r w:rsidRPr="00A82E70">
        <w:rPr>
          <w:rFonts w:cs="Arial"/>
          <w:b/>
          <w:szCs w:val="22"/>
        </w:rPr>
        <w:t xml:space="preserve">General </w:t>
      </w:r>
    </w:p>
    <w:p w:rsidR="00FB2190" w:rsidRDefault="00FB2190" w:rsidP="00FB2190">
      <w:pPr>
        <w:numPr>
          <w:ilvl w:val="0"/>
          <w:numId w:val="13"/>
        </w:numPr>
        <w:rPr>
          <w:rFonts w:cs="Arial"/>
          <w:szCs w:val="22"/>
        </w:rPr>
      </w:pPr>
      <w:r w:rsidRPr="00A82E70">
        <w:rPr>
          <w:rFonts w:cs="Arial"/>
          <w:szCs w:val="22"/>
        </w:rPr>
        <w:t xml:space="preserve">Participate in management and planning meetings when required to ensure that implications for funders are considered in key planning and scheduling decisions. </w:t>
      </w:r>
    </w:p>
    <w:p w:rsidR="00FB2190" w:rsidRPr="00A82E70" w:rsidRDefault="00FB2190" w:rsidP="00FB2190">
      <w:pPr>
        <w:numPr>
          <w:ilvl w:val="0"/>
          <w:numId w:val="13"/>
        </w:numPr>
        <w:rPr>
          <w:rFonts w:cs="Arial"/>
          <w:szCs w:val="22"/>
        </w:rPr>
      </w:pPr>
      <w:r w:rsidRPr="00A82E70">
        <w:rPr>
          <w:rFonts w:cs="Arial"/>
          <w:szCs w:val="22"/>
        </w:rPr>
        <w:t xml:space="preserve">Attending regular staff and company meetings and updating the wider organisation on the work of the Development department. </w:t>
      </w:r>
    </w:p>
    <w:p w:rsidR="00FB2190" w:rsidRPr="0020271F" w:rsidRDefault="00FB2190" w:rsidP="00FB2190">
      <w:pPr>
        <w:numPr>
          <w:ilvl w:val="0"/>
          <w:numId w:val="13"/>
        </w:numPr>
        <w:rPr>
          <w:rFonts w:cs="Arial"/>
          <w:szCs w:val="22"/>
        </w:rPr>
      </w:pPr>
      <w:r>
        <w:rPr>
          <w:rFonts w:cs="Arial"/>
          <w:szCs w:val="22"/>
        </w:rPr>
        <w:t xml:space="preserve">Adhere </w:t>
      </w:r>
      <w:r w:rsidRPr="0020271F">
        <w:rPr>
          <w:rFonts w:cs="Arial"/>
          <w:szCs w:val="22"/>
        </w:rPr>
        <w:t>to the Royal Court’s operational policies, including Health &amp; Safety and Equal Opportunities &amp; Diversity Policies, at all times.</w:t>
      </w:r>
    </w:p>
    <w:p w:rsidR="00FB2190" w:rsidRDefault="00FB2190" w:rsidP="00FB2190">
      <w:pPr>
        <w:numPr>
          <w:ilvl w:val="0"/>
          <w:numId w:val="13"/>
        </w:numPr>
        <w:spacing w:line="288" w:lineRule="auto"/>
        <w:rPr>
          <w:spacing w:val="-3"/>
          <w:szCs w:val="22"/>
        </w:rPr>
      </w:pPr>
      <w:r w:rsidRPr="0020271F">
        <w:rPr>
          <w:szCs w:val="22"/>
        </w:rPr>
        <w:t>To carry out any other duties required by the theatre in pursuance of the above</w:t>
      </w:r>
      <w:r>
        <w:rPr>
          <w:szCs w:val="22"/>
        </w:rPr>
        <w:t xml:space="preserve"> objectives </w:t>
      </w:r>
    </w:p>
    <w:p w:rsidR="00FB2190" w:rsidRDefault="00FB2190" w:rsidP="00FB2190">
      <w:pPr>
        <w:spacing w:line="288" w:lineRule="auto"/>
        <w:rPr>
          <w:szCs w:val="22"/>
        </w:rPr>
      </w:pPr>
    </w:p>
    <w:p w:rsidR="00FB2190" w:rsidRPr="00ED59A8" w:rsidRDefault="00FB2190" w:rsidP="00FB2190">
      <w:pPr>
        <w:rPr>
          <w:rFonts w:cs="Tahoma"/>
          <w:szCs w:val="22"/>
        </w:rPr>
      </w:pPr>
      <w:r w:rsidRPr="00035B02">
        <w:rPr>
          <w:rFonts w:cs="Tahoma"/>
          <w:szCs w:val="22"/>
        </w:rPr>
        <w:t>This job description is a guide to the nature of the work required of the</w:t>
      </w:r>
      <w:r>
        <w:rPr>
          <w:rFonts w:cs="Tahoma"/>
          <w:szCs w:val="22"/>
        </w:rPr>
        <w:t xml:space="preserve"> Development Director. </w:t>
      </w:r>
      <w:r w:rsidRPr="00ED59A8">
        <w:rPr>
          <w:rFonts w:cs="Tahoma"/>
          <w:szCs w:val="22"/>
        </w:rPr>
        <w:t>It is not wholly comprehensive or restrictive and may be reviewed with the post holder and line manager as required.</w:t>
      </w:r>
    </w:p>
    <w:p w:rsidR="00822D42" w:rsidRPr="00822D42" w:rsidRDefault="00822D42" w:rsidP="00822D42">
      <w:pPr>
        <w:spacing w:line="288" w:lineRule="auto"/>
        <w:rPr>
          <w:b/>
          <w:sz w:val="20"/>
        </w:rPr>
      </w:pPr>
    </w:p>
    <w:p w:rsidR="00822D42" w:rsidRPr="00822D42" w:rsidRDefault="00822D42" w:rsidP="00822D42">
      <w:pPr>
        <w:spacing w:line="288" w:lineRule="auto"/>
        <w:rPr>
          <w:b/>
          <w:sz w:val="20"/>
        </w:rPr>
      </w:pPr>
      <w:r w:rsidRPr="00822D42">
        <w:rPr>
          <w:b/>
          <w:sz w:val="20"/>
        </w:rPr>
        <w:t>PERSON SPECIFICATION</w:t>
      </w:r>
    </w:p>
    <w:p w:rsidR="00FB2190" w:rsidRPr="0020271F" w:rsidRDefault="00FB2190" w:rsidP="00FB2190">
      <w:pPr>
        <w:numPr>
          <w:ilvl w:val="0"/>
          <w:numId w:val="14"/>
        </w:numPr>
        <w:rPr>
          <w:rFonts w:cs="Arial"/>
          <w:szCs w:val="22"/>
        </w:rPr>
      </w:pPr>
      <w:r w:rsidRPr="0020271F">
        <w:rPr>
          <w:rFonts w:cs="Arial"/>
          <w:szCs w:val="22"/>
        </w:rPr>
        <w:t>Ex</w:t>
      </w:r>
      <w:r w:rsidR="00E13153">
        <w:rPr>
          <w:rFonts w:cs="Arial"/>
          <w:szCs w:val="22"/>
        </w:rPr>
        <w:t>tensive ex</w:t>
      </w:r>
      <w:r w:rsidRPr="0020271F">
        <w:rPr>
          <w:rFonts w:cs="Arial"/>
          <w:szCs w:val="22"/>
        </w:rPr>
        <w:t>perience in fundraising at a senior level with a direct solicitation role, including proven results in successfully cultivating and soliciting donors and prospects.</w:t>
      </w:r>
    </w:p>
    <w:p w:rsidR="00FB2190" w:rsidRPr="0020271F" w:rsidRDefault="00FB2190" w:rsidP="00FB2190">
      <w:pPr>
        <w:numPr>
          <w:ilvl w:val="0"/>
          <w:numId w:val="14"/>
        </w:numPr>
        <w:rPr>
          <w:rFonts w:cs="Arial"/>
          <w:szCs w:val="22"/>
        </w:rPr>
      </w:pPr>
      <w:r w:rsidRPr="0020271F">
        <w:rPr>
          <w:rFonts w:cs="Arial"/>
          <w:szCs w:val="22"/>
        </w:rPr>
        <w:t xml:space="preserve">Exceptional communications and interpersonal skills – assuring solid relationships, both internally and externally. </w:t>
      </w:r>
    </w:p>
    <w:p w:rsidR="00FB2190" w:rsidRPr="0020271F" w:rsidRDefault="00FB2190" w:rsidP="00FB2190">
      <w:pPr>
        <w:numPr>
          <w:ilvl w:val="0"/>
          <w:numId w:val="14"/>
        </w:numPr>
        <w:rPr>
          <w:rFonts w:cs="Arial"/>
          <w:szCs w:val="22"/>
        </w:rPr>
      </w:pPr>
      <w:r w:rsidRPr="0020271F">
        <w:rPr>
          <w:rFonts w:cs="Arial"/>
          <w:szCs w:val="22"/>
        </w:rPr>
        <w:t>An excellent and detailed understanding of tax-effective giving and charity finance.</w:t>
      </w:r>
    </w:p>
    <w:p w:rsidR="00FB2190" w:rsidRPr="0020271F" w:rsidRDefault="00FB2190" w:rsidP="00FB2190">
      <w:pPr>
        <w:numPr>
          <w:ilvl w:val="0"/>
          <w:numId w:val="14"/>
        </w:numPr>
        <w:rPr>
          <w:rFonts w:cs="Arial"/>
          <w:szCs w:val="22"/>
        </w:rPr>
      </w:pPr>
      <w:r w:rsidRPr="0020271F">
        <w:rPr>
          <w:rFonts w:cs="Arial"/>
          <w:szCs w:val="22"/>
        </w:rPr>
        <w:t>An ability to rapidly absorb and distil information and to devise the best strategy for cultivation, solicitation and stewardship of each potential donor.</w:t>
      </w:r>
    </w:p>
    <w:p w:rsidR="00FB2190" w:rsidRPr="0020271F" w:rsidRDefault="00FB2190" w:rsidP="00FB2190">
      <w:pPr>
        <w:numPr>
          <w:ilvl w:val="0"/>
          <w:numId w:val="14"/>
        </w:numPr>
        <w:rPr>
          <w:rFonts w:cs="Arial"/>
          <w:szCs w:val="22"/>
        </w:rPr>
      </w:pPr>
      <w:r w:rsidRPr="0020271F">
        <w:rPr>
          <w:rFonts w:cs="Arial"/>
          <w:szCs w:val="22"/>
        </w:rPr>
        <w:t>The ability to inspire and enhance active participation in fundraising by people within and outside the Royal Court.</w:t>
      </w:r>
    </w:p>
    <w:p w:rsidR="00FB2190" w:rsidRPr="0020271F" w:rsidRDefault="00FB2190" w:rsidP="00FB2190">
      <w:pPr>
        <w:numPr>
          <w:ilvl w:val="0"/>
          <w:numId w:val="14"/>
        </w:numPr>
        <w:rPr>
          <w:rFonts w:cs="Arial"/>
          <w:szCs w:val="22"/>
        </w:rPr>
      </w:pPr>
      <w:r w:rsidRPr="0020271F">
        <w:rPr>
          <w:rFonts w:cs="Arial"/>
          <w:szCs w:val="22"/>
        </w:rPr>
        <w:t xml:space="preserve">Strong networks and wide reaching knowledge about the sector and trends in giving to the arts. </w:t>
      </w:r>
    </w:p>
    <w:p w:rsidR="00FB2190" w:rsidRPr="0020271F" w:rsidRDefault="00FB2190" w:rsidP="00FB2190">
      <w:pPr>
        <w:numPr>
          <w:ilvl w:val="0"/>
          <w:numId w:val="14"/>
        </w:numPr>
        <w:rPr>
          <w:rFonts w:cs="Arial"/>
          <w:szCs w:val="22"/>
        </w:rPr>
      </w:pPr>
      <w:r w:rsidRPr="0020271F">
        <w:rPr>
          <w:rFonts w:cs="Arial"/>
          <w:szCs w:val="22"/>
        </w:rPr>
        <w:t>A collabora</w:t>
      </w:r>
      <w:r w:rsidR="005E0EAB">
        <w:rPr>
          <w:rFonts w:cs="Arial"/>
          <w:szCs w:val="22"/>
        </w:rPr>
        <w:t>tive and inclusive</w:t>
      </w:r>
      <w:r w:rsidRPr="0020271F">
        <w:rPr>
          <w:rFonts w:cs="Arial"/>
          <w:szCs w:val="22"/>
        </w:rPr>
        <w:t xml:space="preserve"> leadership </w:t>
      </w:r>
      <w:r w:rsidR="005E0EAB">
        <w:rPr>
          <w:rFonts w:cs="Arial"/>
          <w:szCs w:val="22"/>
        </w:rPr>
        <w:t xml:space="preserve">and management </w:t>
      </w:r>
      <w:r w:rsidRPr="0020271F">
        <w:rPr>
          <w:rFonts w:cs="Arial"/>
          <w:szCs w:val="22"/>
        </w:rPr>
        <w:t>style.</w:t>
      </w:r>
    </w:p>
    <w:p w:rsidR="00FB2190" w:rsidRPr="0020271F" w:rsidRDefault="00FB2190" w:rsidP="00FB2190">
      <w:pPr>
        <w:numPr>
          <w:ilvl w:val="0"/>
          <w:numId w:val="14"/>
        </w:numPr>
        <w:rPr>
          <w:rFonts w:cs="Arial"/>
          <w:szCs w:val="22"/>
        </w:rPr>
      </w:pPr>
      <w:r w:rsidRPr="0020271F">
        <w:rPr>
          <w:rFonts w:cs="Arial"/>
          <w:szCs w:val="22"/>
        </w:rPr>
        <w:t>Integrity, mature judgement and sensitivity in working with and motivating middle and high-net worth individuals, their families and advisors.</w:t>
      </w:r>
    </w:p>
    <w:p w:rsidR="00FB2190" w:rsidRPr="0020271F" w:rsidRDefault="00FB2190" w:rsidP="00FB2190">
      <w:pPr>
        <w:numPr>
          <w:ilvl w:val="0"/>
          <w:numId w:val="14"/>
        </w:numPr>
        <w:rPr>
          <w:rFonts w:cs="Arial"/>
          <w:szCs w:val="22"/>
        </w:rPr>
      </w:pPr>
      <w:r w:rsidRPr="0020271F">
        <w:rPr>
          <w:rFonts w:cs="Arial"/>
          <w:szCs w:val="22"/>
        </w:rPr>
        <w:lastRenderedPageBreak/>
        <w:t>A keen interest in theatre and the arts in general – but it is not vital to have worked in a theatre environment.</w:t>
      </w:r>
    </w:p>
    <w:p w:rsidR="00FB2190" w:rsidRDefault="00FB2190" w:rsidP="00822D42">
      <w:pPr>
        <w:spacing w:line="288" w:lineRule="auto"/>
        <w:rPr>
          <w:b/>
          <w:sz w:val="20"/>
        </w:rPr>
      </w:pPr>
    </w:p>
    <w:p w:rsidR="005E0EAB" w:rsidRDefault="005E0EAB" w:rsidP="00822D42">
      <w:pPr>
        <w:spacing w:line="288" w:lineRule="auto"/>
        <w:rPr>
          <w:b/>
          <w:sz w:val="20"/>
        </w:rPr>
      </w:pPr>
    </w:p>
    <w:p w:rsidR="005E0EAB" w:rsidRDefault="005E0EAB" w:rsidP="00822D42">
      <w:pPr>
        <w:spacing w:line="288" w:lineRule="auto"/>
        <w:rPr>
          <w:b/>
          <w:sz w:val="20"/>
        </w:rPr>
      </w:pPr>
    </w:p>
    <w:p w:rsidR="005E0EAB" w:rsidRDefault="005E0EAB" w:rsidP="00822D42">
      <w:pPr>
        <w:spacing w:line="288" w:lineRule="auto"/>
        <w:rPr>
          <w:b/>
          <w:sz w:val="20"/>
        </w:rPr>
      </w:pPr>
    </w:p>
    <w:p w:rsidR="005E0EAB" w:rsidRDefault="005E0EAB" w:rsidP="00822D42">
      <w:pPr>
        <w:spacing w:line="288" w:lineRule="auto"/>
        <w:rPr>
          <w:b/>
          <w:sz w:val="20"/>
        </w:rPr>
      </w:pPr>
    </w:p>
    <w:p w:rsidR="00822D42" w:rsidRPr="00822D42" w:rsidRDefault="00822D42" w:rsidP="00822D42">
      <w:pPr>
        <w:spacing w:line="288" w:lineRule="auto"/>
        <w:rPr>
          <w:b/>
          <w:sz w:val="20"/>
        </w:rPr>
      </w:pPr>
      <w:r w:rsidRPr="00822D42">
        <w:rPr>
          <w:b/>
          <w:sz w:val="20"/>
        </w:rPr>
        <w:t>TERMS &amp; CONDITIONS:</w:t>
      </w:r>
    </w:p>
    <w:p w:rsidR="00822D42" w:rsidRPr="00822D42" w:rsidRDefault="00822D42" w:rsidP="00822D42">
      <w:pPr>
        <w:spacing w:line="288" w:lineRule="auto"/>
        <w:rPr>
          <w:sz w:val="20"/>
        </w:rPr>
      </w:pPr>
    </w:p>
    <w:p w:rsidR="00822D42" w:rsidRPr="00822D42" w:rsidRDefault="00822D42" w:rsidP="00822D42">
      <w:pPr>
        <w:spacing w:line="288" w:lineRule="auto"/>
        <w:rPr>
          <w:sz w:val="20"/>
        </w:rPr>
      </w:pPr>
      <w:r w:rsidRPr="00822D42">
        <w:rPr>
          <w:sz w:val="20"/>
        </w:rPr>
        <w:t>Ti</w:t>
      </w:r>
      <w:r w:rsidR="00814021">
        <w:rPr>
          <w:sz w:val="20"/>
        </w:rPr>
        <w:t>tle of post:</w:t>
      </w:r>
      <w:r w:rsidR="00814021">
        <w:rPr>
          <w:sz w:val="20"/>
        </w:rPr>
        <w:tab/>
      </w:r>
      <w:r w:rsidR="00814021">
        <w:rPr>
          <w:sz w:val="20"/>
        </w:rPr>
        <w:tab/>
      </w:r>
      <w:r w:rsidR="00FB2190" w:rsidRPr="00FB2190">
        <w:rPr>
          <w:b/>
          <w:sz w:val="20"/>
        </w:rPr>
        <w:t>DEVELOPMENT DIRECTOR</w:t>
      </w:r>
    </w:p>
    <w:p w:rsidR="00822D42" w:rsidRPr="00822D42" w:rsidRDefault="00822D42" w:rsidP="00822D42">
      <w:pPr>
        <w:spacing w:line="288" w:lineRule="auto"/>
        <w:rPr>
          <w:sz w:val="20"/>
        </w:rPr>
      </w:pPr>
    </w:p>
    <w:p w:rsidR="00822D42" w:rsidRDefault="00822D42" w:rsidP="00822D42">
      <w:pPr>
        <w:spacing w:line="288" w:lineRule="auto"/>
        <w:ind w:left="2160" w:hanging="2160"/>
        <w:rPr>
          <w:sz w:val="20"/>
        </w:rPr>
      </w:pPr>
      <w:r w:rsidRPr="00822D42">
        <w:rPr>
          <w:sz w:val="20"/>
        </w:rPr>
        <w:t xml:space="preserve">Hours: </w:t>
      </w:r>
      <w:r w:rsidRPr="00822D42">
        <w:rPr>
          <w:sz w:val="20"/>
        </w:rPr>
        <w:tab/>
        <w:t>Standard 40 hours, with regular evening and weekend work.</w:t>
      </w:r>
    </w:p>
    <w:p w:rsidR="00814021" w:rsidRDefault="00814021" w:rsidP="00822D42">
      <w:pPr>
        <w:spacing w:line="288" w:lineRule="auto"/>
        <w:ind w:left="2160" w:hanging="2160"/>
        <w:rPr>
          <w:sz w:val="20"/>
        </w:rPr>
      </w:pPr>
    </w:p>
    <w:p w:rsidR="00814021" w:rsidRPr="00822D42" w:rsidRDefault="00814021" w:rsidP="00822D42">
      <w:pPr>
        <w:spacing w:line="288" w:lineRule="auto"/>
        <w:ind w:left="2160" w:hanging="2160"/>
        <w:rPr>
          <w:sz w:val="20"/>
        </w:rPr>
      </w:pPr>
      <w:r>
        <w:rPr>
          <w:sz w:val="20"/>
        </w:rPr>
        <w:t>Contract:</w:t>
      </w:r>
      <w:r>
        <w:rPr>
          <w:sz w:val="20"/>
        </w:rPr>
        <w:tab/>
      </w:r>
      <w:r w:rsidR="00FB2190">
        <w:rPr>
          <w:sz w:val="20"/>
        </w:rPr>
        <w:t>Permanent</w:t>
      </w:r>
    </w:p>
    <w:p w:rsidR="00822D42" w:rsidRPr="00822D42" w:rsidRDefault="00822D42" w:rsidP="00822D42">
      <w:pPr>
        <w:spacing w:line="288" w:lineRule="auto"/>
        <w:rPr>
          <w:sz w:val="20"/>
        </w:rPr>
      </w:pPr>
    </w:p>
    <w:p w:rsidR="00822D42" w:rsidRPr="00822D42" w:rsidRDefault="00822D42" w:rsidP="00822D42">
      <w:pPr>
        <w:ind w:left="2160" w:hanging="2160"/>
        <w:rPr>
          <w:sz w:val="20"/>
        </w:rPr>
      </w:pPr>
      <w:r w:rsidRPr="00822D42">
        <w:rPr>
          <w:sz w:val="20"/>
        </w:rPr>
        <w:t xml:space="preserve">Salary: </w:t>
      </w:r>
      <w:r w:rsidRPr="00822D42">
        <w:rPr>
          <w:sz w:val="20"/>
        </w:rPr>
        <w:tab/>
      </w:r>
      <w:r w:rsidR="005E0EAB">
        <w:rPr>
          <w:sz w:val="20"/>
        </w:rPr>
        <w:t>c £43,000 per annum</w:t>
      </w:r>
    </w:p>
    <w:p w:rsidR="00822D42" w:rsidRPr="00822D42" w:rsidRDefault="00822D42" w:rsidP="00822D42">
      <w:pPr>
        <w:spacing w:line="288" w:lineRule="auto"/>
        <w:rPr>
          <w:sz w:val="20"/>
        </w:rPr>
      </w:pPr>
    </w:p>
    <w:p w:rsidR="00A200CE" w:rsidRDefault="00822D42" w:rsidP="00822D42">
      <w:pPr>
        <w:spacing w:line="288" w:lineRule="auto"/>
        <w:ind w:left="2160" w:hanging="2160"/>
        <w:rPr>
          <w:sz w:val="20"/>
        </w:rPr>
      </w:pPr>
      <w:r w:rsidRPr="00822D42">
        <w:rPr>
          <w:sz w:val="20"/>
        </w:rPr>
        <w:t>Holiday entitlement:</w:t>
      </w:r>
      <w:r w:rsidRPr="00822D42">
        <w:rPr>
          <w:sz w:val="20"/>
        </w:rPr>
        <w:tab/>
        <w:t xml:space="preserve">20 days per year, plus 8 days for statutory holidays. </w:t>
      </w:r>
    </w:p>
    <w:p w:rsidR="00822D42" w:rsidRPr="00822D42" w:rsidRDefault="00822D42" w:rsidP="00A200CE">
      <w:pPr>
        <w:spacing w:line="288" w:lineRule="auto"/>
        <w:ind w:left="2160"/>
        <w:rPr>
          <w:sz w:val="20"/>
        </w:rPr>
      </w:pPr>
      <w:r w:rsidRPr="00822D42">
        <w:rPr>
          <w:sz w:val="20"/>
        </w:rPr>
        <w:t>Increasing to 25 days per year after 2 years</w:t>
      </w:r>
      <w:r w:rsidR="00A200CE">
        <w:rPr>
          <w:sz w:val="20"/>
        </w:rPr>
        <w:t>’</w:t>
      </w:r>
      <w:r w:rsidRPr="00822D42">
        <w:rPr>
          <w:sz w:val="20"/>
        </w:rPr>
        <w:t xml:space="preserve"> service.</w:t>
      </w:r>
    </w:p>
    <w:p w:rsidR="00822D42" w:rsidRPr="00822D42" w:rsidRDefault="00822D42" w:rsidP="00822D42">
      <w:pPr>
        <w:spacing w:line="288" w:lineRule="auto"/>
        <w:rPr>
          <w:sz w:val="20"/>
        </w:rPr>
      </w:pPr>
    </w:p>
    <w:p w:rsidR="00A200CE" w:rsidRPr="00A200CE" w:rsidRDefault="00822D42" w:rsidP="00A200CE">
      <w:pPr>
        <w:ind w:left="2160" w:right="850" w:hanging="2160"/>
        <w:rPr>
          <w:rFonts w:eastAsia="MS Mincho"/>
          <w:sz w:val="20"/>
          <w:lang w:val="en-US" w:eastAsia="en-GB"/>
        </w:rPr>
      </w:pPr>
      <w:r w:rsidRPr="00822D42">
        <w:rPr>
          <w:sz w:val="20"/>
        </w:rPr>
        <w:t>Pension:</w:t>
      </w:r>
      <w:r w:rsidRPr="00822D42">
        <w:rPr>
          <w:sz w:val="20"/>
        </w:rPr>
        <w:tab/>
      </w:r>
      <w:r w:rsidR="00A200CE" w:rsidRPr="00A200CE">
        <w:rPr>
          <w:rFonts w:eastAsia="MS Mincho"/>
          <w:sz w:val="20"/>
          <w:lang w:val="en-US"/>
        </w:rPr>
        <w:t xml:space="preserve">The Royal Court operates a contributory company pension scheme for all permanent employees. The company contribution is capped at 5% of basic salary. The employee is free to contribute at any level. </w:t>
      </w:r>
    </w:p>
    <w:p w:rsidR="00A200CE" w:rsidRPr="00A200CE" w:rsidRDefault="00A200CE" w:rsidP="00A200CE">
      <w:pPr>
        <w:ind w:left="1871" w:right="850" w:firstLine="289"/>
        <w:rPr>
          <w:rFonts w:eastAsia="MS Mincho"/>
          <w:sz w:val="20"/>
          <w:lang w:val="en-US"/>
        </w:rPr>
      </w:pPr>
      <w:r w:rsidRPr="00A200CE">
        <w:rPr>
          <w:rFonts w:eastAsia="MS Mincho"/>
          <w:sz w:val="20"/>
          <w:lang w:val="en-US"/>
        </w:rPr>
        <w:t>We also operate an alternative workplace pension scheme.</w:t>
      </w:r>
    </w:p>
    <w:p w:rsidR="00A200CE" w:rsidRPr="00A200CE" w:rsidRDefault="00A200CE" w:rsidP="00A200CE">
      <w:pPr>
        <w:ind w:left="1871" w:right="850" w:firstLine="289"/>
        <w:rPr>
          <w:rFonts w:eastAsia="MS Mincho"/>
          <w:sz w:val="20"/>
          <w:lang w:val="en-US"/>
        </w:rPr>
      </w:pPr>
      <w:r w:rsidRPr="00A200CE">
        <w:rPr>
          <w:rFonts w:eastAsia="MS Mincho"/>
          <w:sz w:val="20"/>
          <w:lang w:val="en-US"/>
        </w:rPr>
        <w:t>Details of both schemes will be available at point of contract.</w:t>
      </w:r>
    </w:p>
    <w:p w:rsidR="00822D42" w:rsidRPr="00822D42" w:rsidRDefault="00822D42" w:rsidP="00822D42">
      <w:pPr>
        <w:rPr>
          <w:sz w:val="20"/>
        </w:rPr>
      </w:pPr>
      <w:r w:rsidRPr="00822D42">
        <w:rPr>
          <w:sz w:val="20"/>
        </w:rPr>
        <w:t> </w:t>
      </w:r>
    </w:p>
    <w:p w:rsidR="00A200CE" w:rsidRPr="00A200CE" w:rsidRDefault="00822D42" w:rsidP="00A200CE">
      <w:pPr>
        <w:spacing w:line="288" w:lineRule="auto"/>
        <w:ind w:left="2127" w:hanging="2127"/>
        <w:rPr>
          <w:b/>
          <w:sz w:val="20"/>
        </w:rPr>
      </w:pPr>
      <w:r w:rsidRPr="00A200CE">
        <w:rPr>
          <w:b/>
          <w:sz w:val="20"/>
        </w:rPr>
        <w:t>Other Benefits:</w:t>
      </w:r>
    </w:p>
    <w:p w:rsidR="00A200CE" w:rsidRPr="00A200CE" w:rsidRDefault="00A200CE" w:rsidP="00A200CE">
      <w:pPr>
        <w:pStyle w:val="ListParagraph"/>
        <w:numPr>
          <w:ilvl w:val="0"/>
          <w:numId w:val="11"/>
        </w:numPr>
        <w:spacing w:line="288" w:lineRule="auto"/>
        <w:rPr>
          <w:rFonts w:eastAsia="MS Mincho"/>
          <w:sz w:val="20"/>
          <w:lang w:val="en-US"/>
        </w:rPr>
      </w:pPr>
      <w:r w:rsidRPr="00A200CE">
        <w:rPr>
          <w:rFonts w:eastAsia="MS Mincho"/>
          <w:sz w:val="20"/>
          <w:lang w:val="en-US"/>
        </w:rPr>
        <w:t>Complimentary tickets for preview performances, subject to availability and the Royal Court’s staff ticket</w:t>
      </w:r>
      <w:r>
        <w:rPr>
          <w:rFonts w:eastAsia="MS Mincho"/>
          <w:sz w:val="20"/>
          <w:lang w:val="en-US"/>
        </w:rPr>
        <w:t xml:space="preserve"> </w:t>
      </w:r>
      <w:r w:rsidRPr="00A200CE">
        <w:rPr>
          <w:rFonts w:eastAsia="MS Mincho"/>
          <w:sz w:val="20"/>
          <w:lang w:val="en-US"/>
        </w:rPr>
        <w:t>policy.</w:t>
      </w:r>
    </w:p>
    <w:p w:rsidR="00A200CE" w:rsidRPr="00A200CE" w:rsidRDefault="00A200CE" w:rsidP="00A200CE">
      <w:pPr>
        <w:pStyle w:val="ListParagraph"/>
        <w:numPr>
          <w:ilvl w:val="0"/>
          <w:numId w:val="11"/>
        </w:numPr>
        <w:tabs>
          <w:tab w:val="num" w:pos="2775"/>
        </w:tabs>
        <w:spacing w:line="288" w:lineRule="auto"/>
        <w:ind w:right="850"/>
        <w:rPr>
          <w:rFonts w:eastAsia="MS Mincho"/>
          <w:sz w:val="20"/>
          <w:lang w:val="en-US"/>
        </w:rPr>
      </w:pPr>
      <w:r w:rsidRPr="00A200CE">
        <w:rPr>
          <w:rFonts w:eastAsia="MS Mincho"/>
          <w:sz w:val="20"/>
          <w:lang w:val="en-US"/>
        </w:rPr>
        <w:t xml:space="preserve">Interest free season ticket loan, cycle to work scheme, free life assurance, </w:t>
      </w:r>
      <w:proofErr w:type="spellStart"/>
      <w:r w:rsidRPr="00A200CE">
        <w:rPr>
          <w:rFonts w:eastAsia="MS Mincho"/>
          <w:sz w:val="20"/>
          <w:lang w:val="en-US"/>
        </w:rPr>
        <w:t>subsidised</w:t>
      </w:r>
      <w:proofErr w:type="spellEnd"/>
      <w:r w:rsidRPr="00A200CE">
        <w:rPr>
          <w:rFonts w:eastAsia="MS Mincho"/>
          <w:sz w:val="20"/>
          <w:lang w:val="en-US"/>
        </w:rPr>
        <w:t xml:space="preserve"> exercise classes, childcare voucher scheme</w:t>
      </w:r>
    </w:p>
    <w:p w:rsidR="00A200CE" w:rsidRPr="00A200CE" w:rsidRDefault="00A200CE" w:rsidP="00A200CE">
      <w:pPr>
        <w:pStyle w:val="ListParagraph"/>
        <w:numPr>
          <w:ilvl w:val="0"/>
          <w:numId w:val="11"/>
        </w:numPr>
        <w:tabs>
          <w:tab w:val="num" w:pos="2775"/>
        </w:tabs>
        <w:spacing w:line="288" w:lineRule="auto"/>
        <w:ind w:right="850"/>
        <w:rPr>
          <w:rFonts w:eastAsia="MS Mincho"/>
          <w:sz w:val="20"/>
          <w:lang w:val="en-US"/>
        </w:rPr>
      </w:pPr>
      <w:r w:rsidRPr="00A200CE">
        <w:rPr>
          <w:rFonts w:eastAsia="MS Mincho"/>
          <w:sz w:val="20"/>
          <w:lang w:val="en-US"/>
        </w:rPr>
        <w:t>Discount on meals and drinks in the Royal Courts bar and Kitchen.</w:t>
      </w:r>
    </w:p>
    <w:p w:rsidR="00A200CE" w:rsidRPr="00A200CE" w:rsidRDefault="00A200CE" w:rsidP="00A200CE">
      <w:pPr>
        <w:pStyle w:val="ListParagraph"/>
        <w:numPr>
          <w:ilvl w:val="0"/>
          <w:numId w:val="11"/>
        </w:numPr>
        <w:tabs>
          <w:tab w:val="num" w:pos="2775"/>
        </w:tabs>
        <w:spacing w:line="288" w:lineRule="auto"/>
        <w:ind w:right="850"/>
        <w:rPr>
          <w:rFonts w:eastAsia="MS Mincho"/>
          <w:sz w:val="20"/>
          <w:lang w:val="en-US"/>
        </w:rPr>
      </w:pPr>
      <w:r w:rsidRPr="00A200CE">
        <w:rPr>
          <w:rFonts w:eastAsia="MS Mincho"/>
          <w:sz w:val="20"/>
          <w:lang w:val="en-US"/>
        </w:rPr>
        <w:t>Discount on all purchases in the theatre’s Bookshop, subject to discount policy.</w:t>
      </w:r>
    </w:p>
    <w:p w:rsidR="00822D42" w:rsidRPr="00822D42" w:rsidRDefault="00822D42" w:rsidP="00822D42">
      <w:pPr>
        <w:spacing w:line="288" w:lineRule="auto"/>
        <w:ind w:left="2127" w:hanging="2127"/>
        <w:rPr>
          <w:sz w:val="20"/>
        </w:rPr>
      </w:pPr>
      <w:r w:rsidRPr="00822D42">
        <w:rPr>
          <w:sz w:val="20"/>
        </w:rPr>
        <w:tab/>
      </w:r>
    </w:p>
    <w:p w:rsidR="00822D42" w:rsidRPr="00822D42" w:rsidRDefault="00822D42" w:rsidP="00822D42">
      <w:pPr>
        <w:spacing w:line="288" w:lineRule="auto"/>
        <w:rPr>
          <w:b/>
          <w:sz w:val="20"/>
        </w:rPr>
      </w:pPr>
      <w:r w:rsidRPr="00822D42">
        <w:rPr>
          <w:b/>
          <w:sz w:val="20"/>
        </w:rPr>
        <w:t>Application Procedures:</w:t>
      </w:r>
    </w:p>
    <w:p w:rsidR="00822D42" w:rsidRPr="00822D42" w:rsidRDefault="00822D42" w:rsidP="00822D42">
      <w:pPr>
        <w:spacing w:line="288" w:lineRule="auto"/>
        <w:rPr>
          <w:sz w:val="20"/>
        </w:rPr>
      </w:pPr>
    </w:p>
    <w:p w:rsidR="00822D42" w:rsidRPr="00822D42" w:rsidRDefault="00822D42" w:rsidP="00822D42">
      <w:pPr>
        <w:spacing w:line="288" w:lineRule="auto"/>
        <w:rPr>
          <w:sz w:val="20"/>
        </w:rPr>
      </w:pPr>
      <w:r w:rsidRPr="00822D42">
        <w:rPr>
          <w:sz w:val="20"/>
        </w:rPr>
        <w:t>Please note that only applications submitted on the Royal Court’s standard Applica</w:t>
      </w:r>
      <w:r w:rsidR="00814021">
        <w:rPr>
          <w:sz w:val="20"/>
        </w:rPr>
        <w:t>tion Form can be considered, CV</w:t>
      </w:r>
      <w:r w:rsidRPr="00822D42">
        <w:rPr>
          <w:sz w:val="20"/>
        </w:rPr>
        <w:t>s are</w:t>
      </w:r>
      <w:r w:rsidR="00814021">
        <w:rPr>
          <w:sz w:val="20"/>
        </w:rPr>
        <w:t xml:space="preserve"> not accepted. Application Form</w:t>
      </w:r>
      <w:r w:rsidRPr="00822D42">
        <w:rPr>
          <w:sz w:val="20"/>
        </w:rPr>
        <w:t xml:space="preserve">s can be downloaded from:  </w:t>
      </w:r>
    </w:p>
    <w:p w:rsidR="00814021" w:rsidRDefault="005E0EAB" w:rsidP="00822D42">
      <w:pPr>
        <w:rPr>
          <w:sz w:val="20"/>
        </w:rPr>
      </w:pPr>
      <w:hyperlink r:id="rId8" w:history="1">
        <w:r w:rsidR="00A200CE">
          <w:rPr>
            <w:rStyle w:val="Hyperlink"/>
          </w:rPr>
          <w:t>https://royalcourttheatre.com/about/jobs/</w:t>
        </w:r>
      </w:hyperlink>
    </w:p>
    <w:p w:rsidR="00822D42" w:rsidRPr="00822D42" w:rsidRDefault="00822D42" w:rsidP="00822D42">
      <w:pPr>
        <w:rPr>
          <w:sz w:val="20"/>
        </w:rPr>
      </w:pPr>
      <w:r w:rsidRPr="00822D42">
        <w:rPr>
          <w:sz w:val="20"/>
        </w:rPr>
        <w:t>Once the Application and Equal Opportunities Forms are completed please return, by the closing date below, to:</w:t>
      </w:r>
    </w:p>
    <w:p w:rsidR="00822D42" w:rsidRPr="00822D42" w:rsidRDefault="00822D42" w:rsidP="00822D42">
      <w:pPr>
        <w:rPr>
          <w:sz w:val="20"/>
        </w:rPr>
      </w:pPr>
    </w:p>
    <w:p w:rsidR="00822D42" w:rsidRPr="00814021" w:rsidRDefault="00822D42" w:rsidP="00822D42">
      <w:pPr>
        <w:rPr>
          <w:color w:val="FF0000"/>
          <w:sz w:val="20"/>
        </w:rPr>
      </w:pPr>
      <w:r w:rsidRPr="00822D42">
        <w:rPr>
          <w:sz w:val="20"/>
        </w:rPr>
        <w:t xml:space="preserve">Email: </w:t>
      </w:r>
      <w:r w:rsidRPr="00822D42">
        <w:rPr>
          <w:sz w:val="20"/>
        </w:rPr>
        <w:tab/>
      </w:r>
      <w:r w:rsidRPr="00822D42">
        <w:rPr>
          <w:sz w:val="20"/>
        </w:rPr>
        <w:tab/>
      </w:r>
      <w:r w:rsidRPr="00822D42">
        <w:rPr>
          <w:sz w:val="20"/>
        </w:rPr>
        <w:tab/>
      </w:r>
      <w:hyperlink r:id="rId9" w:history="1">
        <w:r w:rsidRPr="00822D42">
          <w:rPr>
            <w:rStyle w:val="Hyperlink"/>
            <w:color w:val="FF0000"/>
            <w:sz w:val="20"/>
          </w:rPr>
          <w:t>recruitment@royalcourttheatre.com</w:t>
        </w:r>
      </w:hyperlink>
    </w:p>
    <w:p w:rsidR="00814021" w:rsidRPr="00822D42" w:rsidRDefault="00822D42" w:rsidP="00814021">
      <w:pPr>
        <w:rPr>
          <w:sz w:val="20"/>
        </w:rPr>
      </w:pPr>
      <w:r w:rsidRPr="00822D42">
        <w:rPr>
          <w:sz w:val="20"/>
        </w:rPr>
        <w:t xml:space="preserve">By post: </w:t>
      </w:r>
      <w:r w:rsidRPr="00822D42">
        <w:rPr>
          <w:sz w:val="20"/>
        </w:rPr>
        <w:tab/>
      </w:r>
      <w:r w:rsidRPr="00822D42">
        <w:rPr>
          <w:sz w:val="20"/>
        </w:rPr>
        <w:tab/>
      </w:r>
      <w:r w:rsidR="00814021">
        <w:rPr>
          <w:sz w:val="20"/>
        </w:rPr>
        <w:tab/>
      </w:r>
      <w:r w:rsidRPr="00822D42">
        <w:rPr>
          <w:sz w:val="20"/>
        </w:rPr>
        <w:t>Recruitment</w:t>
      </w:r>
      <w:r w:rsidR="00814021">
        <w:rPr>
          <w:sz w:val="20"/>
        </w:rPr>
        <w:t xml:space="preserve">, English Stage Company, </w:t>
      </w:r>
      <w:r w:rsidRPr="00822D42">
        <w:rPr>
          <w:sz w:val="20"/>
        </w:rPr>
        <w:t>Royal Court Theatre</w:t>
      </w:r>
      <w:r w:rsidR="00814021">
        <w:rPr>
          <w:sz w:val="20"/>
        </w:rPr>
        <w:t xml:space="preserve">, </w:t>
      </w:r>
      <w:proofErr w:type="gramStart"/>
      <w:r w:rsidR="00814021" w:rsidRPr="00822D42">
        <w:rPr>
          <w:sz w:val="20"/>
        </w:rPr>
        <w:t>Sloane</w:t>
      </w:r>
      <w:proofErr w:type="gramEnd"/>
      <w:r w:rsidR="00814021" w:rsidRPr="00822D42">
        <w:rPr>
          <w:sz w:val="20"/>
        </w:rPr>
        <w:t xml:space="preserve"> Square</w:t>
      </w:r>
      <w:r w:rsidR="00814021">
        <w:rPr>
          <w:sz w:val="20"/>
        </w:rPr>
        <w:t>,</w:t>
      </w:r>
      <w:r w:rsidR="00814021" w:rsidRPr="00814021">
        <w:rPr>
          <w:sz w:val="20"/>
        </w:rPr>
        <w:t xml:space="preserve"> </w:t>
      </w:r>
      <w:r w:rsidR="00814021">
        <w:rPr>
          <w:sz w:val="20"/>
        </w:rPr>
        <w:t>L</w:t>
      </w:r>
      <w:r w:rsidR="00814021" w:rsidRPr="00822D42">
        <w:rPr>
          <w:sz w:val="20"/>
        </w:rPr>
        <w:t>ondon</w:t>
      </w:r>
    </w:p>
    <w:p w:rsidR="00814021" w:rsidRPr="00822D42" w:rsidRDefault="00814021" w:rsidP="00814021">
      <w:pPr>
        <w:rPr>
          <w:i/>
          <w:sz w:val="20"/>
        </w:rPr>
      </w:pPr>
      <w:r w:rsidRPr="00822D42">
        <w:rPr>
          <w:sz w:val="20"/>
        </w:rPr>
        <w:tab/>
      </w:r>
      <w:r w:rsidRPr="00822D42">
        <w:rPr>
          <w:sz w:val="20"/>
        </w:rPr>
        <w:tab/>
      </w:r>
      <w:r w:rsidRPr="00822D42">
        <w:rPr>
          <w:sz w:val="20"/>
        </w:rPr>
        <w:tab/>
        <w:t>SW1 8AS</w:t>
      </w:r>
    </w:p>
    <w:p w:rsidR="00822D42" w:rsidRPr="00814021" w:rsidRDefault="00822D42" w:rsidP="00814021">
      <w:pPr>
        <w:rPr>
          <w:sz w:val="20"/>
        </w:rPr>
      </w:pPr>
    </w:p>
    <w:p w:rsidR="00822D42" w:rsidRPr="00814021" w:rsidRDefault="00822D42" w:rsidP="00822D42">
      <w:pPr>
        <w:spacing w:line="288" w:lineRule="auto"/>
        <w:rPr>
          <w:b/>
          <w:sz w:val="20"/>
        </w:rPr>
      </w:pPr>
      <w:r w:rsidRPr="00814021">
        <w:rPr>
          <w:b/>
          <w:sz w:val="20"/>
        </w:rPr>
        <w:t xml:space="preserve">Closing date for applications:  </w:t>
      </w:r>
      <w:r w:rsidR="005E0EAB">
        <w:rPr>
          <w:b/>
          <w:sz w:val="20"/>
        </w:rPr>
        <w:t>Monday 8 May 2017</w:t>
      </w:r>
    </w:p>
    <w:p w:rsidR="00814021" w:rsidRPr="00822D42" w:rsidRDefault="00814021" w:rsidP="00822D42">
      <w:pPr>
        <w:spacing w:line="288" w:lineRule="auto"/>
        <w:rPr>
          <w:sz w:val="20"/>
        </w:rPr>
      </w:pPr>
      <w:r>
        <w:rPr>
          <w:b/>
          <w:sz w:val="20"/>
        </w:rPr>
        <w:t xml:space="preserve">Interviews to be held: </w:t>
      </w:r>
      <w:r w:rsidR="005E0EAB">
        <w:rPr>
          <w:b/>
          <w:sz w:val="20"/>
        </w:rPr>
        <w:t xml:space="preserve"> w</w:t>
      </w:r>
      <w:bookmarkStart w:id="0" w:name="_GoBack"/>
      <w:bookmarkEnd w:id="0"/>
      <w:r w:rsidR="005E0EAB">
        <w:rPr>
          <w:b/>
          <w:sz w:val="20"/>
        </w:rPr>
        <w:t xml:space="preserve">/c 15 May 2017 </w:t>
      </w:r>
    </w:p>
    <w:p w:rsidR="00FB2190" w:rsidRDefault="00FB2190" w:rsidP="00822D42">
      <w:pPr>
        <w:spacing w:line="288" w:lineRule="auto"/>
        <w:rPr>
          <w:sz w:val="20"/>
        </w:rPr>
      </w:pPr>
    </w:p>
    <w:p w:rsidR="00822D42" w:rsidRPr="00822D42" w:rsidRDefault="00822D42" w:rsidP="00822D42">
      <w:pPr>
        <w:spacing w:line="288" w:lineRule="auto"/>
        <w:rPr>
          <w:sz w:val="20"/>
        </w:rPr>
      </w:pPr>
      <w:r w:rsidRPr="00822D42">
        <w:rPr>
          <w:sz w:val="20"/>
        </w:rPr>
        <w:t>The Royal Court is committed to being an Equal Opportunities Employer and encourages applications from minority ethnic and disabled groups, as they are under-represented amongst are staff.</w:t>
      </w:r>
    </w:p>
    <w:p w:rsidR="00822D42" w:rsidRPr="00822D42" w:rsidRDefault="00822D42" w:rsidP="00822D42">
      <w:pPr>
        <w:spacing w:line="288" w:lineRule="auto"/>
        <w:rPr>
          <w:sz w:val="20"/>
        </w:rPr>
      </w:pPr>
    </w:p>
    <w:p w:rsidR="00822D42" w:rsidRPr="00822D42" w:rsidRDefault="00822D42" w:rsidP="00814021">
      <w:pPr>
        <w:spacing w:line="288" w:lineRule="auto"/>
        <w:rPr>
          <w:sz w:val="20"/>
        </w:rPr>
      </w:pPr>
      <w:r w:rsidRPr="00822D42">
        <w:rPr>
          <w:sz w:val="20"/>
        </w:rPr>
        <w:t xml:space="preserve">The English Stage Company (no. 231242) is a publicly funded registered charity. </w:t>
      </w:r>
    </w:p>
    <w:sectPr w:rsidR="00822D42" w:rsidRPr="00822D42" w:rsidSect="00026EF7">
      <w:headerReference w:type="default" r:id="rId10"/>
      <w:footerReference w:type="default" r:id="rId11"/>
      <w:headerReference w:type="first" r:id="rId12"/>
      <w:footerReference w:type="first" r:id="rId13"/>
      <w:pgSz w:w="11900" w:h="16840"/>
      <w:pgMar w:top="2693" w:right="1418"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C10" w:rsidRDefault="00CF3C10" w:rsidP="00E67131">
      <w:r>
        <w:separator/>
      </w:r>
    </w:p>
  </w:endnote>
  <w:endnote w:type="continuationSeparator" w:id="0">
    <w:p w:rsidR="00CF3C10" w:rsidRDefault="00CF3C10" w:rsidP="00E6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w:altName w:val="Segoe UI Semilight"/>
    <w:charset w:val="00"/>
    <w:family w:val="auto"/>
    <w:pitch w:val="variable"/>
    <w:sig w:usb0="00000000" w:usb1="00000000" w:usb2="00000000" w:usb3="00000000" w:csb0="000001F7"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BureauGrot Light">
    <w:altName w:val="Franklin Gothic Medium Cond"/>
    <w:panose1 w:val="00000000000000000000"/>
    <w:charset w:val="00"/>
    <w:family w:val="modern"/>
    <w:notTrueType/>
    <w:pitch w:val="variable"/>
    <w:sig w:usb0="00000003" w:usb1="5000204A" w:usb2="00000000" w:usb3="00000000" w:csb0="00000001" w:csb1="00000000"/>
  </w:font>
  <w:font w:name="BureauGrot Medium">
    <w:altName w:val="Times New Roman"/>
    <w:panose1 w:val="00000000000000000000"/>
    <w:charset w:val="00"/>
    <w:family w:val="modern"/>
    <w:notTrueType/>
    <w:pitch w:val="variable"/>
    <w:sig w:usb0="00000003" w:usb1="5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911785"/>
      <w:docPartObj>
        <w:docPartGallery w:val="Page Numbers (Bottom of Page)"/>
        <w:docPartUnique/>
      </w:docPartObj>
    </w:sdtPr>
    <w:sdtEndPr>
      <w:rPr>
        <w:rFonts w:ascii="BureauGrot Light" w:hAnsi="BureauGrot Light"/>
        <w:noProof/>
        <w:sz w:val="16"/>
        <w:szCs w:val="16"/>
      </w:rPr>
    </w:sdtEndPr>
    <w:sdtContent>
      <w:p w:rsidR="00156096" w:rsidRPr="00156096" w:rsidRDefault="00156096">
        <w:pPr>
          <w:pStyle w:val="Footer"/>
          <w:jc w:val="right"/>
          <w:rPr>
            <w:rFonts w:ascii="BureauGrot Light" w:hAnsi="BureauGrot Light"/>
            <w:sz w:val="16"/>
            <w:szCs w:val="16"/>
          </w:rPr>
        </w:pPr>
        <w:r w:rsidRPr="00156096">
          <w:rPr>
            <w:rFonts w:ascii="BureauGrot Light" w:hAnsi="BureauGrot Light"/>
            <w:sz w:val="16"/>
            <w:szCs w:val="16"/>
          </w:rPr>
          <w:fldChar w:fldCharType="begin"/>
        </w:r>
        <w:r w:rsidRPr="00156096">
          <w:rPr>
            <w:rFonts w:ascii="BureauGrot Light" w:hAnsi="BureauGrot Light"/>
            <w:sz w:val="16"/>
            <w:szCs w:val="16"/>
          </w:rPr>
          <w:instrText xml:space="preserve"> PAGE   \* MERGEFORMAT </w:instrText>
        </w:r>
        <w:r w:rsidRPr="00156096">
          <w:rPr>
            <w:rFonts w:ascii="BureauGrot Light" w:hAnsi="BureauGrot Light"/>
            <w:sz w:val="16"/>
            <w:szCs w:val="16"/>
          </w:rPr>
          <w:fldChar w:fldCharType="separate"/>
        </w:r>
        <w:r w:rsidR="005E0EAB">
          <w:rPr>
            <w:rFonts w:ascii="BureauGrot Light" w:hAnsi="BureauGrot Light"/>
            <w:noProof/>
            <w:sz w:val="16"/>
            <w:szCs w:val="16"/>
          </w:rPr>
          <w:t>2</w:t>
        </w:r>
        <w:r w:rsidRPr="00156096">
          <w:rPr>
            <w:rFonts w:ascii="BureauGrot Light" w:hAnsi="BureauGrot Light"/>
            <w:noProof/>
            <w:sz w:val="16"/>
            <w:szCs w:val="16"/>
          </w:rPr>
          <w:fldChar w:fldCharType="end"/>
        </w:r>
      </w:p>
    </w:sdtContent>
  </w:sdt>
  <w:p w:rsidR="00156096" w:rsidRDefault="001560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724076"/>
      <w:docPartObj>
        <w:docPartGallery w:val="Page Numbers (Bottom of Page)"/>
        <w:docPartUnique/>
      </w:docPartObj>
    </w:sdtPr>
    <w:sdtEndPr>
      <w:rPr>
        <w:rFonts w:ascii="BureauGrot Light" w:hAnsi="BureauGrot Light"/>
        <w:noProof/>
        <w:sz w:val="16"/>
        <w:szCs w:val="16"/>
      </w:rPr>
    </w:sdtEndPr>
    <w:sdtContent>
      <w:p w:rsidR="00156096" w:rsidRPr="00156096" w:rsidRDefault="00156096">
        <w:pPr>
          <w:pStyle w:val="Footer"/>
          <w:jc w:val="right"/>
          <w:rPr>
            <w:rFonts w:ascii="BureauGrot Light" w:hAnsi="BureauGrot Light"/>
            <w:sz w:val="16"/>
            <w:szCs w:val="16"/>
          </w:rPr>
        </w:pPr>
        <w:r w:rsidRPr="00156096">
          <w:rPr>
            <w:rFonts w:ascii="BureauGrot Light" w:hAnsi="BureauGrot Light"/>
            <w:sz w:val="16"/>
            <w:szCs w:val="16"/>
          </w:rPr>
          <w:fldChar w:fldCharType="begin"/>
        </w:r>
        <w:r w:rsidRPr="00156096">
          <w:rPr>
            <w:rFonts w:ascii="BureauGrot Light" w:hAnsi="BureauGrot Light"/>
            <w:sz w:val="16"/>
            <w:szCs w:val="16"/>
          </w:rPr>
          <w:instrText xml:space="preserve"> PAGE   \* MERGEFORMAT </w:instrText>
        </w:r>
        <w:r w:rsidRPr="00156096">
          <w:rPr>
            <w:rFonts w:ascii="BureauGrot Light" w:hAnsi="BureauGrot Light"/>
            <w:sz w:val="16"/>
            <w:szCs w:val="16"/>
          </w:rPr>
          <w:fldChar w:fldCharType="separate"/>
        </w:r>
        <w:r w:rsidR="00400E5E">
          <w:rPr>
            <w:rFonts w:ascii="BureauGrot Light" w:hAnsi="BureauGrot Light"/>
            <w:noProof/>
            <w:sz w:val="16"/>
            <w:szCs w:val="16"/>
          </w:rPr>
          <w:t>1</w:t>
        </w:r>
        <w:r w:rsidRPr="00156096">
          <w:rPr>
            <w:rFonts w:ascii="BureauGrot Light" w:hAnsi="BureauGrot Light"/>
            <w:noProof/>
            <w:sz w:val="16"/>
            <w:szCs w:val="16"/>
          </w:rPr>
          <w:fldChar w:fldCharType="end"/>
        </w:r>
      </w:p>
    </w:sdtContent>
  </w:sdt>
  <w:p w:rsidR="00156096" w:rsidRDefault="00156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C10" w:rsidRDefault="00CF3C10" w:rsidP="00E67131">
      <w:r>
        <w:separator/>
      </w:r>
    </w:p>
  </w:footnote>
  <w:footnote w:type="continuationSeparator" w:id="0">
    <w:p w:rsidR="00CF3C10" w:rsidRDefault="00CF3C10" w:rsidP="00E67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346" w:rsidRPr="00C17346" w:rsidRDefault="00C17346" w:rsidP="00121F81">
    <w:pPr>
      <w:pStyle w:val="Header"/>
      <w:rPr>
        <w:rFonts w:ascii="BatangChe" w:eastAsia="BatangChe" w:hAnsi="BatangChe"/>
      </w:rPr>
    </w:pPr>
    <w:r w:rsidRPr="00C17346">
      <w:rPr>
        <w:rFonts w:ascii="BatangChe" w:eastAsia="BatangChe" w:hAnsi="BatangChe"/>
        <w:noProof/>
        <w:lang w:eastAsia="en-GB"/>
      </w:rPr>
      <w:drawing>
        <wp:inline distT="0" distB="0" distL="0" distR="0" wp14:anchorId="11CDDDCC">
          <wp:extent cx="895350" cy="8953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0BD" w:rsidRPr="00B504AD" w:rsidRDefault="001070BD" w:rsidP="00B5779B">
    <w:pPr>
      <w:jc w:val="right"/>
      <w:rPr>
        <w:rFonts w:ascii="BureauGrot Medium" w:hAnsi="BureauGrot Medium"/>
        <w:color w:val="808080" w:themeColor="background1" w:themeShade="80"/>
        <w:sz w:val="16"/>
        <w:szCs w:val="16"/>
      </w:rPr>
    </w:pPr>
    <w:r>
      <w:rPr>
        <w:noProof/>
        <w:lang w:eastAsia="en-GB"/>
      </w:rPr>
      <mc:AlternateContent>
        <mc:Choice Requires="wps">
          <w:drawing>
            <wp:anchor distT="45720" distB="45720" distL="114300" distR="114300" simplePos="0" relativeHeight="251659264" behindDoc="0" locked="0" layoutInCell="1" allowOverlap="1" wp14:anchorId="6EA45486" wp14:editId="314B9D87">
              <wp:simplePos x="0" y="0"/>
              <wp:positionH relativeFrom="column">
                <wp:posOffset>-160020</wp:posOffset>
              </wp:positionH>
              <wp:positionV relativeFrom="paragraph">
                <wp:posOffset>-38100</wp:posOffset>
              </wp:positionV>
              <wp:extent cx="1356995" cy="117856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17856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rsidR="001070BD" w:rsidRDefault="001070BD" w:rsidP="001070BD">
                          <w:pPr>
                            <w:jc w:val="center"/>
                          </w:pPr>
                          <w:r w:rsidRPr="001070BD">
                            <w:rPr>
                              <w:noProof/>
                              <w:lang w:eastAsia="en-GB"/>
                            </w:rPr>
                            <w:drawing>
                              <wp:inline distT="0" distB="0" distL="0" distR="0" wp14:anchorId="412D86E1" wp14:editId="0A9C3B29">
                                <wp:extent cx="1021715" cy="1021715"/>
                                <wp:effectExtent l="0" t="0" r="6985"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607" cy="103260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A45486" id="_x0000_t202" coordsize="21600,21600" o:spt="202" path="m,l,21600r21600,l21600,xe">
              <v:stroke joinstyle="miter"/>
              <v:path gradientshapeok="t" o:connecttype="rect"/>
            </v:shapetype>
            <v:shape id="Text Box 2" o:spid="_x0000_s1026" type="#_x0000_t202" style="position:absolute;left:0;text-align:left;margin-left:-12.6pt;margin-top:-3pt;width:106.85pt;height:9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" fillcolor="white [3201]" stroked="f" strokeweight="2pt">
              <v:textbox>
                <w:txbxContent>
                  <w:p w:rsidR="001070BD" w:rsidRDefault="001070BD" w:rsidP="001070BD">
                    <w:pPr>
                      <w:jc w:val="center"/>
                    </w:pPr>
                    <w:r w:rsidRPr="001070BD">
                      <w:rPr>
                        <w:noProof/>
                        <w:lang w:eastAsia="en-GB"/>
                      </w:rPr>
                      <w:drawing>
                        <wp:inline distT="0" distB="0" distL="0" distR="0" wp14:anchorId="412D86E1" wp14:editId="0A9C3B29">
                          <wp:extent cx="1021715" cy="1021715"/>
                          <wp:effectExtent l="0" t="0" r="6985"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2607" cy="1032607"/>
                                  </a:xfrm>
                                  <a:prstGeom prst="rect">
                                    <a:avLst/>
                                  </a:prstGeom>
                                  <a:noFill/>
                                  <a:ln>
                                    <a:noFill/>
                                  </a:ln>
                                </pic:spPr>
                              </pic:pic>
                            </a:graphicData>
                          </a:graphic>
                        </wp:inline>
                      </w:drawing>
                    </w:r>
                  </w:p>
                </w:txbxContent>
              </v:textbox>
              <w10:wrap type="square"/>
            </v:shape>
          </w:pict>
        </mc:Fallback>
      </mc:AlternateContent>
    </w:r>
    <w:r w:rsidRPr="00B504AD">
      <w:rPr>
        <w:rFonts w:ascii="BureauGrot Medium" w:hAnsi="BureauGrot Medium"/>
        <w:color w:val="808080" w:themeColor="background1" w:themeShade="80"/>
        <w:sz w:val="16"/>
        <w:szCs w:val="16"/>
      </w:rPr>
      <w:t>Royal Court Theatre</w:t>
    </w:r>
  </w:p>
  <w:p w:rsidR="001070BD" w:rsidRPr="00B504AD" w:rsidRDefault="001070BD" w:rsidP="00B5779B">
    <w:pPr>
      <w:jc w:val="right"/>
      <w:rPr>
        <w:rFonts w:ascii="BureauGrot Light" w:hAnsi="BureauGrot Light"/>
        <w:color w:val="808080" w:themeColor="background1" w:themeShade="80"/>
        <w:sz w:val="16"/>
        <w:szCs w:val="16"/>
      </w:rPr>
    </w:pPr>
    <w:r w:rsidRPr="00B504AD">
      <w:rPr>
        <w:rFonts w:ascii="BureauGrot Light" w:hAnsi="BureauGrot Light"/>
        <w:color w:val="808080" w:themeColor="background1" w:themeShade="80"/>
        <w:sz w:val="16"/>
        <w:szCs w:val="16"/>
      </w:rPr>
      <w:t>Sloane Square, London, SW1W 9AS</w:t>
    </w:r>
  </w:p>
  <w:p w:rsidR="001070BD" w:rsidRPr="00B504AD" w:rsidRDefault="001070BD" w:rsidP="00B5779B">
    <w:pPr>
      <w:jc w:val="right"/>
      <w:rPr>
        <w:rFonts w:ascii="BureauGrot Light" w:hAnsi="BureauGrot Light"/>
        <w:color w:val="808080" w:themeColor="background1" w:themeShade="80"/>
        <w:sz w:val="16"/>
        <w:szCs w:val="16"/>
        <w:lang w:val="fr-FR"/>
      </w:rPr>
    </w:pPr>
    <w:r w:rsidRPr="00B504AD">
      <w:rPr>
        <w:rFonts w:ascii="BureauGrot Light" w:hAnsi="BureauGrot Light"/>
        <w:color w:val="808080" w:themeColor="background1" w:themeShade="80"/>
        <w:sz w:val="16"/>
        <w:szCs w:val="16"/>
        <w:lang w:val="fr-FR"/>
      </w:rPr>
      <w:t>Admin 020 7565 5050</w:t>
    </w:r>
  </w:p>
  <w:p w:rsidR="001070BD" w:rsidRDefault="001070BD" w:rsidP="00B5779B">
    <w:pPr>
      <w:jc w:val="right"/>
      <w:rPr>
        <w:rFonts w:ascii="BureauGrot Light" w:hAnsi="BureauGrot Light"/>
        <w:color w:val="808080" w:themeColor="background1" w:themeShade="80"/>
        <w:sz w:val="16"/>
        <w:szCs w:val="16"/>
        <w:lang w:val="fr-FR"/>
      </w:rPr>
    </w:pPr>
    <w:r w:rsidRPr="00B504AD">
      <w:rPr>
        <w:rFonts w:ascii="BureauGrot Light" w:hAnsi="BureauGrot Light"/>
        <w:color w:val="808080" w:themeColor="background1" w:themeShade="80"/>
        <w:sz w:val="16"/>
        <w:szCs w:val="16"/>
        <w:lang w:val="fr-FR"/>
      </w:rPr>
      <w:t>royalcourttheatre.com</w:t>
    </w:r>
  </w:p>
  <w:p w:rsidR="001070BD" w:rsidRPr="001070BD" w:rsidRDefault="001070BD" w:rsidP="00B5779B">
    <w:pPr>
      <w:jc w:val="right"/>
      <w:rPr>
        <w:rFonts w:ascii="BureauGrot Light" w:hAnsi="BureauGrot Light"/>
        <w:color w:val="808080" w:themeColor="background1" w:themeShade="80"/>
        <w:sz w:val="16"/>
        <w:szCs w:val="16"/>
        <w:lang w:val="fr-FR"/>
      </w:rPr>
    </w:pPr>
    <w:r w:rsidRPr="001070BD">
      <w:rPr>
        <w:rFonts w:ascii="BureauGrot Light" w:hAnsi="BureauGrot Light"/>
        <w:color w:val="808080" w:themeColor="background1" w:themeShade="80"/>
        <w:sz w:val="16"/>
        <w:szCs w:val="16"/>
        <w:lang w:val="fr-FR"/>
      </w:rPr>
      <w:t>info@royalcourttheatre.com</w:t>
    </w:r>
    <w:r w:rsidRPr="001070BD">
      <w:rPr>
        <w:rFonts w:ascii="BureauGrot Light" w:hAnsi="BureauGrot Light"/>
        <w:color w:val="808080" w:themeColor="background1" w:themeShade="80"/>
        <w:sz w:val="12"/>
        <w:szCs w:val="12"/>
        <w:lang w:val="fr-FR"/>
      </w:rPr>
      <w:t xml:space="preserve"> </w:t>
    </w:r>
  </w:p>
  <w:p w:rsidR="001070BD" w:rsidRPr="001070BD" w:rsidRDefault="00156096" w:rsidP="00156096">
    <w:pPr>
      <w:tabs>
        <w:tab w:val="left" w:pos="1425"/>
      </w:tabs>
      <w:rPr>
        <w:rFonts w:ascii="BureauGrot Light" w:hAnsi="BureauGrot Light"/>
        <w:color w:val="808080" w:themeColor="background1" w:themeShade="80"/>
        <w:sz w:val="12"/>
        <w:szCs w:val="12"/>
        <w:lang w:val="fr-FR"/>
      </w:rPr>
    </w:pPr>
    <w:r>
      <w:rPr>
        <w:rFonts w:ascii="BureauGrot Light" w:hAnsi="BureauGrot Light"/>
        <w:color w:val="808080" w:themeColor="background1" w:themeShade="80"/>
        <w:sz w:val="12"/>
        <w:szCs w:val="12"/>
        <w:lang w:val="fr-FR"/>
      </w:rPr>
      <w:tab/>
    </w:r>
    <w:r>
      <w:rPr>
        <w:rFonts w:ascii="BureauGrot Light" w:hAnsi="BureauGrot Light"/>
        <w:color w:val="808080" w:themeColor="background1" w:themeShade="80"/>
        <w:sz w:val="12"/>
        <w:szCs w:val="12"/>
        <w:lang w:val="fr-FR"/>
      </w:rPr>
      <w:tab/>
    </w:r>
    <w:r>
      <w:rPr>
        <w:rFonts w:ascii="BureauGrot Light" w:hAnsi="BureauGrot Light"/>
        <w:color w:val="808080" w:themeColor="background1" w:themeShade="80"/>
        <w:sz w:val="12"/>
        <w:szCs w:val="12"/>
        <w:lang w:val="fr-FR"/>
      </w:rPr>
      <w:tab/>
    </w:r>
  </w:p>
  <w:p w:rsidR="001070BD" w:rsidRPr="00B504AD" w:rsidRDefault="001070BD" w:rsidP="00B5779B">
    <w:pPr>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The Jerwood Theatres at the Royal Court</w:t>
    </w:r>
    <w:r>
      <w:rPr>
        <w:rFonts w:ascii="BureauGrot Light" w:hAnsi="BureauGrot Light"/>
        <w:color w:val="808080" w:themeColor="background1" w:themeShade="80"/>
        <w:sz w:val="12"/>
        <w:szCs w:val="12"/>
      </w:rPr>
      <w:t xml:space="preserve"> Theatre</w:t>
    </w:r>
  </w:p>
  <w:p w:rsidR="001070BD" w:rsidRPr="00B504AD" w:rsidRDefault="001070BD" w:rsidP="00B5779B">
    <w:pPr>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The English Stage Company Lim</w:t>
    </w:r>
    <w:r w:rsidR="00B5779B">
      <w:rPr>
        <w:rFonts w:ascii="BureauGrot Light" w:hAnsi="BureauGrot Light"/>
        <w:color w:val="808080" w:themeColor="background1" w:themeShade="80"/>
        <w:sz w:val="12"/>
        <w:szCs w:val="12"/>
      </w:rPr>
      <w:t>ited at the Royal Court Theatre</w:t>
    </w:r>
  </w:p>
  <w:p w:rsidR="001070BD" w:rsidRDefault="001070BD" w:rsidP="00B5779B">
    <w:pPr>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Registered in Englan</w:t>
    </w:r>
    <w:r w:rsidR="00B5779B">
      <w:rPr>
        <w:rFonts w:ascii="BureauGrot Light" w:hAnsi="BureauGrot Light"/>
        <w:color w:val="808080" w:themeColor="background1" w:themeShade="80"/>
        <w:sz w:val="12"/>
        <w:szCs w:val="12"/>
      </w:rPr>
      <w:t>d &amp; Wales company number 539332</w:t>
    </w:r>
  </w:p>
  <w:p w:rsidR="001070BD" w:rsidRDefault="001070BD" w:rsidP="00B5779B">
    <w:pPr>
      <w:pStyle w:val="Header"/>
      <w:jc w:val="right"/>
    </w:pPr>
    <w:r w:rsidRPr="00B504AD">
      <w:rPr>
        <w:rFonts w:ascii="BureauGrot Light" w:hAnsi="BureauGrot Light"/>
        <w:color w:val="808080" w:themeColor="background1" w:themeShade="80"/>
        <w:sz w:val="12"/>
        <w:szCs w:val="12"/>
      </w:rPr>
      <w:t>R</w:t>
    </w:r>
    <w:r w:rsidR="00B5779B">
      <w:rPr>
        <w:rFonts w:ascii="BureauGrot Light" w:hAnsi="BureauGrot Light"/>
        <w:color w:val="808080" w:themeColor="background1" w:themeShade="80"/>
        <w:sz w:val="12"/>
        <w:szCs w:val="12"/>
      </w:rPr>
      <w:t xml:space="preserve">egistered charity number 231242  </w:t>
    </w:r>
    <w:r>
      <w:rPr>
        <w:rFonts w:ascii="BureauGrot Light" w:hAnsi="BureauGrot Light"/>
        <w:color w:val="808080" w:themeColor="background1" w:themeShade="80"/>
        <w:sz w:val="12"/>
        <w:szCs w:val="12"/>
      </w:rPr>
      <w:t xml:space="preserve"> VAT number </w:t>
    </w:r>
    <w:r w:rsidRPr="004F3803">
      <w:rPr>
        <w:rFonts w:ascii="BureauGrot Light" w:hAnsi="BureauGrot Light"/>
        <w:color w:val="808080" w:themeColor="background1" w:themeShade="80"/>
        <w:sz w:val="12"/>
        <w:szCs w:val="12"/>
      </w:rPr>
      <w:t>238 9311 47</w:t>
    </w:r>
  </w:p>
  <w:p w:rsidR="00190160" w:rsidRDefault="001901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4513C"/>
    <w:multiLevelType w:val="hybridMultilevel"/>
    <w:tmpl w:val="3F921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756941"/>
    <w:multiLevelType w:val="hybridMultilevel"/>
    <w:tmpl w:val="3F703A38"/>
    <w:lvl w:ilvl="0" w:tplc="04090001">
      <w:start w:val="1"/>
      <w:numFmt w:val="bullet"/>
      <w:lvlText w:val=""/>
      <w:lvlJc w:val="left"/>
      <w:pPr>
        <w:tabs>
          <w:tab w:val="num" w:pos="615"/>
        </w:tabs>
        <w:ind w:left="615" w:hanging="360"/>
      </w:pPr>
      <w:rPr>
        <w:rFonts w:ascii="Symbol" w:hAnsi="Symbol" w:hint="default"/>
      </w:rPr>
    </w:lvl>
    <w:lvl w:ilvl="1" w:tplc="04090003">
      <w:start w:val="1"/>
      <w:numFmt w:val="bullet"/>
      <w:lvlText w:val="o"/>
      <w:lvlJc w:val="left"/>
      <w:pPr>
        <w:tabs>
          <w:tab w:val="num" w:pos="1335"/>
        </w:tabs>
        <w:ind w:left="1335" w:hanging="360"/>
      </w:pPr>
      <w:rPr>
        <w:rFonts w:ascii="Courier New" w:hAnsi="Courier New" w:cs="Courier New" w:hint="default"/>
      </w:rPr>
    </w:lvl>
    <w:lvl w:ilvl="2" w:tplc="04090005">
      <w:start w:val="1"/>
      <w:numFmt w:val="bullet"/>
      <w:lvlText w:val=""/>
      <w:lvlJc w:val="left"/>
      <w:pPr>
        <w:tabs>
          <w:tab w:val="num" w:pos="2055"/>
        </w:tabs>
        <w:ind w:left="2055" w:hanging="360"/>
      </w:pPr>
      <w:rPr>
        <w:rFonts w:ascii="Wingdings" w:hAnsi="Wingdings" w:hint="default"/>
      </w:rPr>
    </w:lvl>
    <w:lvl w:ilvl="3" w:tplc="04090001">
      <w:start w:val="1"/>
      <w:numFmt w:val="bullet"/>
      <w:lvlText w:val=""/>
      <w:lvlJc w:val="left"/>
      <w:pPr>
        <w:tabs>
          <w:tab w:val="num" w:pos="2775"/>
        </w:tabs>
        <w:ind w:left="2775" w:hanging="360"/>
      </w:pPr>
      <w:rPr>
        <w:rFonts w:ascii="Symbol" w:hAnsi="Symbol" w:hint="default"/>
      </w:rPr>
    </w:lvl>
    <w:lvl w:ilvl="4" w:tplc="04090003">
      <w:start w:val="1"/>
      <w:numFmt w:val="bullet"/>
      <w:lvlText w:val="o"/>
      <w:lvlJc w:val="left"/>
      <w:pPr>
        <w:tabs>
          <w:tab w:val="num" w:pos="3495"/>
        </w:tabs>
        <w:ind w:left="3495" w:hanging="360"/>
      </w:pPr>
      <w:rPr>
        <w:rFonts w:ascii="Courier New" w:hAnsi="Courier New" w:cs="Courier New" w:hint="default"/>
      </w:rPr>
    </w:lvl>
    <w:lvl w:ilvl="5" w:tplc="04090005" w:tentative="1">
      <w:start w:val="1"/>
      <w:numFmt w:val="bullet"/>
      <w:lvlText w:val=""/>
      <w:lvlJc w:val="left"/>
      <w:pPr>
        <w:tabs>
          <w:tab w:val="num" w:pos="4215"/>
        </w:tabs>
        <w:ind w:left="4215" w:hanging="360"/>
      </w:pPr>
      <w:rPr>
        <w:rFonts w:ascii="Wingdings" w:hAnsi="Wingdings" w:hint="default"/>
      </w:rPr>
    </w:lvl>
    <w:lvl w:ilvl="6" w:tplc="04090001" w:tentative="1">
      <w:start w:val="1"/>
      <w:numFmt w:val="bullet"/>
      <w:lvlText w:val=""/>
      <w:lvlJc w:val="left"/>
      <w:pPr>
        <w:tabs>
          <w:tab w:val="num" w:pos="4935"/>
        </w:tabs>
        <w:ind w:left="4935" w:hanging="360"/>
      </w:pPr>
      <w:rPr>
        <w:rFonts w:ascii="Symbol" w:hAnsi="Symbol" w:hint="default"/>
      </w:rPr>
    </w:lvl>
    <w:lvl w:ilvl="7" w:tplc="04090003" w:tentative="1">
      <w:start w:val="1"/>
      <w:numFmt w:val="bullet"/>
      <w:lvlText w:val="o"/>
      <w:lvlJc w:val="left"/>
      <w:pPr>
        <w:tabs>
          <w:tab w:val="num" w:pos="5655"/>
        </w:tabs>
        <w:ind w:left="5655" w:hanging="360"/>
      </w:pPr>
      <w:rPr>
        <w:rFonts w:ascii="Courier New" w:hAnsi="Courier New" w:cs="Courier New" w:hint="default"/>
      </w:rPr>
    </w:lvl>
    <w:lvl w:ilvl="8" w:tplc="04090005" w:tentative="1">
      <w:start w:val="1"/>
      <w:numFmt w:val="bullet"/>
      <w:lvlText w:val=""/>
      <w:lvlJc w:val="left"/>
      <w:pPr>
        <w:tabs>
          <w:tab w:val="num" w:pos="6375"/>
        </w:tabs>
        <w:ind w:left="6375" w:hanging="360"/>
      </w:pPr>
      <w:rPr>
        <w:rFonts w:ascii="Wingdings" w:hAnsi="Wingdings" w:hint="default"/>
      </w:rPr>
    </w:lvl>
  </w:abstractNum>
  <w:abstractNum w:abstractNumId="2">
    <w:nsid w:val="29695AF0"/>
    <w:multiLevelType w:val="hybridMultilevel"/>
    <w:tmpl w:val="DC7AC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534F75"/>
    <w:multiLevelType w:val="hybridMultilevel"/>
    <w:tmpl w:val="0232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1D0786"/>
    <w:multiLevelType w:val="hybridMultilevel"/>
    <w:tmpl w:val="99B68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024FD7"/>
    <w:multiLevelType w:val="hybridMultilevel"/>
    <w:tmpl w:val="70640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D312BC"/>
    <w:multiLevelType w:val="hybridMultilevel"/>
    <w:tmpl w:val="D68C4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053932"/>
    <w:multiLevelType w:val="hybridMultilevel"/>
    <w:tmpl w:val="FF586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5B325A"/>
    <w:multiLevelType w:val="hybridMultilevel"/>
    <w:tmpl w:val="ABEAA2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56A575D"/>
    <w:multiLevelType w:val="hybridMultilevel"/>
    <w:tmpl w:val="8DF2F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D161E9"/>
    <w:multiLevelType w:val="hybridMultilevel"/>
    <w:tmpl w:val="D200EA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A982A65"/>
    <w:multiLevelType w:val="hybridMultilevel"/>
    <w:tmpl w:val="61DA7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41E03D3"/>
    <w:multiLevelType w:val="hybridMultilevel"/>
    <w:tmpl w:val="E278A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D4141E"/>
    <w:multiLevelType w:val="hybridMultilevel"/>
    <w:tmpl w:val="749CF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13"/>
  </w:num>
  <w:num w:numId="4">
    <w:abstractNumId w:val="12"/>
  </w:num>
  <w:num w:numId="5">
    <w:abstractNumId w:val="4"/>
  </w:num>
  <w:num w:numId="6">
    <w:abstractNumId w:val="2"/>
  </w:num>
  <w:num w:numId="7">
    <w:abstractNumId w:val="0"/>
  </w:num>
  <w:num w:numId="8">
    <w:abstractNumId w:val="5"/>
  </w:num>
  <w:num w:numId="9">
    <w:abstractNumId w:val="9"/>
  </w:num>
  <w:num w:numId="10">
    <w:abstractNumId w:val="6"/>
  </w:num>
  <w:num w:numId="11">
    <w:abstractNumId w:val="3"/>
  </w:num>
  <w:num w:numId="12">
    <w:abstractNumId w:val="10"/>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B8"/>
    <w:rsid w:val="00026EF7"/>
    <w:rsid w:val="0005001C"/>
    <w:rsid w:val="00092B49"/>
    <w:rsid w:val="001070BD"/>
    <w:rsid w:val="00121F81"/>
    <w:rsid w:val="00156096"/>
    <w:rsid w:val="00190160"/>
    <w:rsid w:val="00272ACB"/>
    <w:rsid w:val="002C6BCB"/>
    <w:rsid w:val="002D4BA4"/>
    <w:rsid w:val="002D676E"/>
    <w:rsid w:val="002F159D"/>
    <w:rsid w:val="00325189"/>
    <w:rsid w:val="00377198"/>
    <w:rsid w:val="00400E5E"/>
    <w:rsid w:val="00403E27"/>
    <w:rsid w:val="004842E8"/>
    <w:rsid w:val="00495E89"/>
    <w:rsid w:val="004D188E"/>
    <w:rsid w:val="004F16F6"/>
    <w:rsid w:val="004F3803"/>
    <w:rsid w:val="005211BC"/>
    <w:rsid w:val="005413C3"/>
    <w:rsid w:val="00560593"/>
    <w:rsid w:val="005E0EAB"/>
    <w:rsid w:val="007146DB"/>
    <w:rsid w:val="00717FE6"/>
    <w:rsid w:val="007248C9"/>
    <w:rsid w:val="007C35A3"/>
    <w:rsid w:val="007C40FA"/>
    <w:rsid w:val="007E07C2"/>
    <w:rsid w:val="007E290C"/>
    <w:rsid w:val="007F3C2A"/>
    <w:rsid w:val="00814021"/>
    <w:rsid w:val="00822D42"/>
    <w:rsid w:val="00825279"/>
    <w:rsid w:val="008824B8"/>
    <w:rsid w:val="00882CA1"/>
    <w:rsid w:val="00886296"/>
    <w:rsid w:val="009777D8"/>
    <w:rsid w:val="009C6CB0"/>
    <w:rsid w:val="00A200CE"/>
    <w:rsid w:val="00A638DA"/>
    <w:rsid w:val="00AA1A68"/>
    <w:rsid w:val="00AD7626"/>
    <w:rsid w:val="00B504AD"/>
    <w:rsid w:val="00B5779B"/>
    <w:rsid w:val="00B707B3"/>
    <w:rsid w:val="00BA06F3"/>
    <w:rsid w:val="00BB1101"/>
    <w:rsid w:val="00BF5111"/>
    <w:rsid w:val="00C17346"/>
    <w:rsid w:val="00C705F3"/>
    <w:rsid w:val="00CF3C10"/>
    <w:rsid w:val="00D461A3"/>
    <w:rsid w:val="00DC609F"/>
    <w:rsid w:val="00E13153"/>
    <w:rsid w:val="00E67131"/>
    <w:rsid w:val="00FB2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efaultImageDpi w14:val="300"/>
  <w15:docId w15:val="{08FBAB46-3486-4CF5-BBCF-3F13D895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0BD"/>
    <w:rPr>
      <w:rFonts w:ascii="Gill Sans MT" w:eastAsia="Times" w:hAnsi="Gill Sans MT"/>
      <w:sz w:val="22"/>
    </w:rPr>
  </w:style>
  <w:style w:type="paragraph" w:styleId="Heading1">
    <w:name w:val="heading 1"/>
    <w:basedOn w:val="Normal"/>
    <w:next w:val="Normal"/>
    <w:link w:val="Heading1Char"/>
    <w:uiPriority w:val="9"/>
    <w:qFormat/>
    <w:rsid w:val="00822D4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026EF7"/>
    <w:pPr>
      <w:keepNext/>
      <w:outlineLvl w:val="1"/>
    </w:pPr>
    <w:rPr>
      <w:rFonts w:ascii="Gill Sans" w:eastAsia="Times New Roman" w:hAnsi="Gill San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131"/>
    <w:pPr>
      <w:tabs>
        <w:tab w:val="center" w:pos="4320"/>
        <w:tab w:val="right" w:pos="8640"/>
      </w:tabs>
    </w:pPr>
    <w:rPr>
      <w:rFonts w:ascii="Cambria" w:eastAsia="MS Mincho" w:hAnsi="Cambria"/>
      <w:sz w:val="24"/>
      <w:szCs w:val="24"/>
    </w:rPr>
  </w:style>
  <w:style w:type="character" w:customStyle="1" w:styleId="HeaderChar">
    <w:name w:val="Header Char"/>
    <w:basedOn w:val="DefaultParagraphFont"/>
    <w:link w:val="Header"/>
    <w:uiPriority w:val="99"/>
    <w:rsid w:val="00E67131"/>
  </w:style>
  <w:style w:type="paragraph" w:styleId="Footer">
    <w:name w:val="footer"/>
    <w:basedOn w:val="Normal"/>
    <w:link w:val="FooterChar"/>
    <w:uiPriority w:val="99"/>
    <w:unhideWhenUsed/>
    <w:rsid w:val="00E67131"/>
    <w:pPr>
      <w:tabs>
        <w:tab w:val="center" w:pos="4320"/>
        <w:tab w:val="right" w:pos="8640"/>
      </w:tabs>
    </w:pPr>
    <w:rPr>
      <w:rFonts w:ascii="Cambria" w:eastAsia="MS Mincho" w:hAnsi="Cambria"/>
      <w:sz w:val="24"/>
      <w:szCs w:val="24"/>
    </w:rPr>
  </w:style>
  <w:style w:type="character" w:customStyle="1" w:styleId="FooterChar">
    <w:name w:val="Footer Char"/>
    <w:basedOn w:val="DefaultParagraphFont"/>
    <w:link w:val="Footer"/>
    <w:uiPriority w:val="99"/>
    <w:rsid w:val="00E67131"/>
  </w:style>
  <w:style w:type="paragraph" w:customStyle="1" w:styleId="BasicParagraph">
    <w:name w:val="[Basic Paragraph]"/>
    <w:basedOn w:val="Normal"/>
    <w:uiPriority w:val="99"/>
    <w:rsid w:val="005413C3"/>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rPr>
  </w:style>
  <w:style w:type="character" w:styleId="Hyperlink">
    <w:name w:val="Hyperlink"/>
    <w:basedOn w:val="DefaultParagraphFont"/>
    <w:uiPriority w:val="99"/>
    <w:unhideWhenUsed/>
    <w:rsid w:val="008824B8"/>
    <w:rPr>
      <w:color w:val="0000FF" w:themeColor="hyperlink"/>
      <w:u w:val="single"/>
    </w:rPr>
  </w:style>
  <w:style w:type="paragraph" w:styleId="BalloonText">
    <w:name w:val="Balloon Text"/>
    <w:basedOn w:val="Normal"/>
    <w:link w:val="BalloonTextChar"/>
    <w:uiPriority w:val="99"/>
    <w:semiHidden/>
    <w:unhideWhenUsed/>
    <w:rsid w:val="00B707B3"/>
    <w:rPr>
      <w:rFonts w:ascii="Segoe UI" w:eastAsia="MS Mincho" w:hAnsi="Segoe UI" w:cs="Segoe UI"/>
      <w:sz w:val="18"/>
      <w:szCs w:val="18"/>
    </w:rPr>
  </w:style>
  <w:style w:type="character" w:customStyle="1" w:styleId="BalloonTextChar">
    <w:name w:val="Balloon Text Char"/>
    <w:basedOn w:val="DefaultParagraphFont"/>
    <w:link w:val="BalloonText"/>
    <w:uiPriority w:val="99"/>
    <w:semiHidden/>
    <w:rsid w:val="00B707B3"/>
    <w:rPr>
      <w:rFonts w:ascii="Segoe UI" w:hAnsi="Segoe UI" w:cs="Segoe UI"/>
      <w:sz w:val="18"/>
      <w:szCs w:val="18"/>
      <w:lang w:val="en-US"/>
    </w:rPr>
  </w:style>
  <w:style w:type="table" w:styleId="TableGrid">
    <w:name w:val="Table Grid"/>
    <w:basedOn w:val="TableNormal"/>
    <w:uiPriority w:val="59"/>
    <w:rsid w:val="00121F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070BD"/>
    <w:rPr>
      <w:rFonts w:ascii="Gill Sans" w:hAnsi="Gill Sans"/>
    </w:rPr>
  </w:style>
  <w:style w:type="character" w:customStyle="1" w:styleId="BodyTextChar">
    <w:name w:val="Body Text Char"/>
    <w:basedOn w:val="DefaultParagraphFont"/>
    <w:link w:val="BodyText"/>
    <w:rsid w:val="001070BD"/>
    <w:rPr>
      <w:rFonts w:ascii="Gill Sans" w:eastAsia="Times" w:hAnsi="Gill Sans"/>
      <w:sz w:val="22"/>
    </w:rPr>
  </w:style>
  <w:style w:type="character" w:customStyle="1" w:styleId="EmailStyle26">
    <w:name w:val="EmailStyle26"/>
    <w:semiHidden/>
    <w:rsid w:val="001070BD"/>
    <w:rPr>
      <w:rFonts w:ascii="Arial" w:hAnsi="Arial" w:cs="Arial" w:hint="default"/>
      <w:color w:val="000080"/>
      <w:sz w:val="20"/>
      <w:szCs w:val="20"/>
    </w:rPr>
  </w:style>
  <w:style w:type="character" w:customStyle="1" w:styleId="Heading2Char">
    <w:name w:val="Heading 2 Char"/>
    <w:basedOn w:val="DefaultParagraphFont"/>
    <w:link w:val="Heading2"/>
    <w:rsid w:val="00026EF7"/>
    <w:rPr>
      <w:rFonts w:ascii="Gill Sans" w:eastAsia="Times New Roman" w:hAnsi="Gill Sans"/>
      <w:b/>
      <w:sz w:val="18"/>
    </w:rPr>
  </w:style>
  <w:style w:type="character" w:customStyle="1" w:styleId="Heading1Char">
    <w:name w:val="Heading 1 Char"/>
    <w:basedOn w:val="DefaultParagraphFont"/>
    <w:link w:val="Heading1"/>
    <w:uiPriority w:val="9"/>
    <w:rsid w:val="00822D42"/>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A20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yalcourttheatre.com/about/job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royalcourttheatr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j\Documents\Custom%20Office%20Templates\RC_Letterhead_waterma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95514-DB28-4206-BD38-E9657C237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RC_Letterhead_watermark</Template>
  <TotalTime>20</TotalTime>
  <Pages>4</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James</dc:creator>
  <cp:keywords/>
  <dc:description/>
  <cp:lastModifiedBy>Catherine Thornborrow</cp:lastModifiedBy>
  <cp:revision>3</cp:revision>
  <cp:lastPrinted>2015-04-10T16:28:00Z</cp:lastPrinted>
  <dcterms:created xsi:type="dcterms:W3CDTF">2017-04-24T17:12:00Z</dcterms:created>
  <dcterms:modified xsi:type="dcterms:W3CDTF">2017-04-24T17:32:00Z</dcterms:modified>
</cp:coreProperties>
</file>